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288" w:afterAutospacing="0" w:line="560" w:lineRule="atLeast"/>
        <w:ind w:left="0" w:right="0" w:firstLine="0"/>
        <w:jc w:val="center"/>
      </w:pPr>
      <w:r>
        <w:rPr>
          <w:rFonts w:ascii="方正小标宋_GBK" w:hAnsi="方正小标宋_GBK" w:eastAsia="方正小标宋_GBK" w:cs="方正小标宋_GBK"/>
          <w:caps w:val="0"/>
          <w:color w:val="333333"/>
          <w:spacing w:val="0"/>
          <w:sz w:val="44"/>
          <w:szCs w:val="44"/>
          <w:bdr w:val="none" w:color="auto" w:sz="0" w:space="0"/>
          <w:shd w:val="clear" w:fill="FFFFFF"/>
        </w:rPr>
        <w:t>淄博高新技术产业开发区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288" w:afterAutospacing="0" w:line="560" w:lineRule="atLeast"/>
        <w:ind w:left="0" w:right="0" w:firstLine="0"/>
        <w:jc w:val="center"/>
      </w:pPr>
      <w:r>
        <w:rPr>
          <w:rFonts w:hint="eastAsia" w:ascii="方正小标宋_GBK" w:hAnsi="方正小标宋_GBK" w:eastAsia="方正小标宋_GBK" w:cs="方正小标宋_GBK"/>
          <w:caps w:val="0"/>
          <w:color w:val="000000"/>
          <w:spacing w:val="0"/>
          <w:sz w:val="44"/>
          <w:szCs w:val="44"/>
          <w:bdr w:val="none" w:color="auto" w:sz="0" w:space="0"/>
          <w:shd w:val="clear" w:fill="FFFFFF"/>
        </w:rPr>
        <w:t>2021年政府信息公开工作年度报告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0"/>
        <w:jc w:val="center"/>
      </w:pPr>
      <w:r>
        <w:rPr>
          <w:rFonts w:ascii="方正小标宋简体" w:hAnsi="方正小标宋简体" w:eastAsia="方正小标宋简体" w:cs="方正小标宋简体"/>
          <w:caps w:val="0"/>
          <w:color w:val="000000"/>
          <w:spacing w:val="0"/>
          <w:sz w:val="36"/>
          <w:szCs w:val="3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ascii="仿宋_GB2312" w:eastAsia="仿宋_GB2312" w:cs="仿宋_GB2312"/>
          <w:caps w:val="0"/>
          <w:color w:val="000000"/>
          <w:spacing w:val="0"/>
          <w:sz w:val="32"/>
          <w:szCs w:val="32"/>
          <w:bdr w:val="none" w:color="auto" w:sz="0" w:space="0"/>
          <w:shd w:val="clear" w:fill="FFFFFF"/>
        </w:rPr>
        <w:t>本报告根据《中华人民共和国政府信息公开条例》、《国务院办公厅政府信息与政务公开办公室关于印发</w:t>
      </w:r>
      <w:r>
        <w:rPr>
          <w:rFonts w:hint="eastAsia" w:ascii="仿宋_GB2312" w:eastAsia="仿宋_GB2312" w:cs="仿宋_GB2312"/>
          <w:caps w:val="0"/>
          <w:color w:val="000000"/>
          <w:spacing w:val="0"/>
          <w:sz w:val="32"/>
          <w:szCs w:val="32"/>
          <w:bdr w:val="none" w:color="auto" w:sz="0" w:space="0"/>
          <w:shd w:val="clear" w:fill="FFFFFF"/>
        </w:rPr>
        <w:t>&lt;中华人民共和国政府信息公开工作年度报告格式&gt;的通知》（国办公开办函〔2021〕30号）编制。报告主要包括：总体情况、主动公开政府信息情况、收到和处理政府信息公开申请情况、因政府信息公开被申请行政复议和提起行政诉讼情况、政府信息公开工作存在主要问题及改进情况和其他需要报告事项。本报告中所列数据的统计期限自2021年1月1日起，至2021年12月31日止。本报告可在淄博高新区门户网站（http://www.china-zibo.gov.cn）下载。如对本报告有任何疑问，请与淄博高新区管委会办公室联系（地址：淄博市张店区柳泉路109号1008室；联系电话：0533-3585321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ascii="黑体" w:hAnsi="宋体" w:eastAsia="黑体" w:cs="黑体"/>
          <w:caps w:val="0"/>
          <w:color w:val="000000"/>
          <w:spacing w:val="0"/>
          <w:sz w:val="32"/>
          <w:szCs w:val="32"/>
          <w:bdr w:val="none" w:color="auto" w:sz="0" w:space="0"/>
          <w:shd w:val="clear" w:fill="FFFFFF"/>
        </w:rPr>
        <w:t>一、</w:t>
      </w:r>
      <w:r>
        <w:rPr>
          <w:rFonts w:hint="eastAsia" w:ascii="黑体" w:hAnsi="宋体" w:eastAsia="黑体" w:cs="黑体"/>
          <w:caps w:val="0"/>
          <w:color w:val="000000"/>
          <w:spacing w:val="0"/>
          <w:sz w:val="32"/>
          <w:szCs w:val="32"/>
          <w:bdr w:val="none" w:color="auto" w:sz="0" w:space="0"/>
          <w:shd w:val="clear" w:fill="FFFFFF"/>
        </w:rPr>
        <w:t>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仿宋_GB2312" w:eastAsia="仿宋_GB2312" w:cs="仿宋_GB2312"/>
          <w:caps w:val="0"/>
          <w:color w:val="000000"/>
          <w:spacing w:val="0"/>
          <w:sz w:val="32"/>
          <w:szCs w:val="32"/>
          <w:bdr w:val="none" w:color="auto" w:sz="0" w:space="0"/>
          <w:shd w:val="clear" w:fill="FFFFFF"/>
        </w:rPr>
        <w:t>2021年，淄博高新区全面落实上级政务公开工作相关决策部署，着力强化疫情防控、稳岗就业、乡村振兴等重点领域信息公开力度，依申请公开渠道畅通、答复规范，进一步规范和加强政策解读工作、不断加强政务公开新平台建设，努力推动淄博高新区政务公开工作取得新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ascii="楷体" w:hAnsi="楷体" w:eastAsia="楷体" w:cs="楷体"/>
          <w:caps w:val="0"/>
          <w:color w:val="000000"/>
          <w:spacing w:val="0"/>
          <w:sz w:val="32"/>
          <w:szCs w:val="32"/>
          <w:bdr w:val="none" w:color="auto" w:sz="0" w:space="0"/>
        </w:rPr>
        <w:t>（一）</w:t>
      </w:r>
      <w:r>
        <w:rPr>
          <w:rFonts w:hint="eastAsia" w:ascii="楷体" w:hAnsi="楷体" w:eastAsia="楷体" w:cs="楷体"/>
          <w:caps w:val="0"/>
          <w:color w:val="000000"/>
          <w:spacing w:val="0"/>
          <w:sz w:val="32"/>
          <w:szCs w:val="32"/>
          <w:bdr w:val="none" w:color="auto" w:sz="0" w:space="0"/>
        </w:rPr>
        <w:t>主动公开情况。</w:t>
      </w:r>
      <w:r>
        <w:rPr>
          <w:rFonts w:hint="eastAsia" w:ascii="仿宋_GB2312" w:eastAsia="仿宋_GB2312" w:cs="仿宋_GB2312"/>
          <w:caps w:val="0"/>
          <w:color w:val="333333"/>
          <w:spacing w:val="0"/>
          <w:sz w:val="32"/>
          <w:szCs w:val="32"/>
          <w:bdr w:val="none" w:color="auto" w:sz="0" w:space="0"/>
        </w:rPr>
        <w:t>坚持“公开为常态、不公开为例外”原则，制定政务公开考核办法，不断完善信息公开制度。</w:t>
      </w:r>
      <w:r>
        <w:rPr>
          <w:rFonts w:hint="eastAsia" w:ascii="仿宋_GB2312" w:eastAsia="仿宋_GB2312" w:cs="仿宋_GB2312"/>
          <w:caps w:val="0"/>
          <w:color w:val="000000"/>
          <w:spacing w:val="0"/>
          <w:sz w:val="32"/>
          <w:szCs w:val="32"/>
          <w:bdr w:val="none" w:color="auto" w:sz="0" w:space="0"/>
        </w:rPr>
        <w:t>2021年，淄博高新区共主动公开政府信息1580条；共公开了18次管委会主任会议，公开了会议议定事项并进行了会议解读；针对当前热点及重点领域，公开发布相关政策文件及解读信息120条；政务微博信息发布量729条，政务微信信息发布量1728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仿宋_GB2312" w:eastAsia="仿宋_GB2312" w:cs="仿宋_GB2312"/>
          <w:caps w:val="0"/>
          <w:color w:val="000000"/>
          <w:spacing w:val="0"/>
          <w:sz w:val="32"/>
          <w:szCs w:val="32"/>
          <w:bdr w:val="none" w:color="auto" w:sz="0" w:space="0"/>
        </w:rPr>
        <w:t> </w:t>
      </w:r>
      <w:r>
        <w:rPr>
          <w:rFonts w:hint="eastAsia" w:ascii="仿宋_GB2312" w:eastAsia="仿宋_GB2312" w:cs="仿宋_GB2312"/>
          <w:caps w:val="0"/>
          <w:color w:val="000000"/>
          <w:spacing w:val="0"/>
          <w:sz w:val="32"/>
          <w:szCs w:val="32"/>
          <w:bdr w:val="none" w:color="auto" w:sz="0" w:space="0"/>
        </w:rPr>
        <w:drawing>
          <wp:inline distT="0" distB="0" distL="114300" distR="114300">
            <wp:extent cx="11172825" cy="3667125"/>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11172825" cy="3667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楷体" w:hAnsi="楷体" w:eastAsia="楷体" w:cs="楷体"/>
          <w:caps w:val="0"/>
          <w:color w:val="000000"/>
          <w:spacing w:val="0"/>
          <w:sz w:val="32"/>
          <w:szCs w:val="32"/>
          <w:bdr w:val="none" w:color="auto" w:sz="0" w:space="0"/>
        </w:rPr>
        <w:t>（二）依申请公开情况。</w:t>
      </w:r>
      <w:r>
        <w:rPr>
          <w:rFonts w:hint="eastAsia" w:ascii="仿宋_GB2312" w:eastAsia="仿宋_GB2312" w:cs="仿宋_GB2312"/>
          <w:caps w:val="0"/>
          <w:color w:val="000000"/>
          <w:spacing w:val="0"/>
          <w:sz w:val="32"/>
          <w:szCs w:val="32"/>
          <w:bdr w:val="none" w:color="auto" w:sz="0" w:space="0"/>
        </w:rPr>
        <w:t>依法依规回应群众依申请公开内容，不断提高群众公开满意度、幸福度。2021年度，全区共收到政府信息公开申请件49件，</w:t>
      </w:r>
      <w:r>
        <w:rPr>
          <w:rFonts w:ascii="仿宋" w:hAnsi="仿宋" w:eastAsia="仿宋" w:cs="仿宋"/>
          <w:caps w:val="0"/>
          <w:color w:val="000000"/>
          <w:spacing w:val="0"/>
          <w:sz w:val="32"/>
          <w:szCs w:val="32"/>
          <w:bdr w:val="none" w:color="auto" w:sz="0" w:space="0"/>
        </w:rPr>
        <w:t>同比增长</w:t>
      </w:r>
      <w:r>
        <w:rPr>
          <w:rFonts w:hint="eastAsia" w:ascii="仿宋" w:hAnsi="仿宋" w:eastAsia="仿宋" w:cs="仿宋"/>
          <w:caps w:val="0"/>
          <w:color w:val="000000"/>
          <w:spacing w:val="0"/>
          <w:sz w:val="32"/>
          <w:szCs w:val="32"/>
          <w:bdr w:val="none" w:color="auto" w:sz="0" w:space="0"/>
        </w:rPr>
        <w:t>58%。其中均为自然人申请，申请内容</w:t>
      </w:r>
      <w:r>
        <w:rPr>
          <w:rFonts w:hint="eastAsia" w:ascii="仿宋_GB2312" w:eastAsia="仿宋_GB2312" w:cs="仿宋_GB2312"/>
          <w:caps w:val="0"/>
          <w:color w:val="000000"/>
          <w:spacing w:val="0"/>
          <w:sz w:val="32"/>
          <w:szCs w:val="32"/>
          <w:bdr w:val="none" w:color="auto" w:sz="0" w:space="0"/>
        </w:rPr>
        <w:t>涉及征地补偿、棚户区改造、社会保障等领域，44件依法依规进行答复，5件结转到下年继续办理，本年度依申请公开没有收取费用。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jc w:val="left"/>
      </w:pPr>
      <w:r>
        <w:rPr>
          <w:rFonts w:hint="eastAsia" w:ascii="仿宋_GB2312" w:eastAsia="仿宋_GB2312" w:cs="仿宋_GB2312"/>
          <w:caps w:val="0"/>
          <w:color w:val="000000"/>
          <w:spacing w:val="0"/>
          <w:sz w:val="32"/>
          <w:szCs w:val="32"/>
          <w:bdr w:val="none" w:color="auto" w:sz="0" w:space="0"/>
        </w:rPr>
        <w:t> </w:t>
      </w:r>
      <w:r>
        <w:rPr>
          <w:rFonts w:hint="eastAsia" w:ascii="仿宋_GB2312" w:eastAsia="仿宋_GB2312" w:cs="仿宋_GB2312"/>
          <w:caps w:val="0"/>
          <w:color w:val="000000"/>
          <w:spacing w:val="0"/>
          <w:sz w:val="32"/>
          <w:szCs w:val="32"/>
          <w:bdr w:val="none" w:color="auto" w:sz="0" w:space="0"/>
        </w:rPr>
        <w:drawing>
          <wp:inline distT="0" distB="0" distL="114300" distR="114300">
            <wp:extent cx="9115425" cy="30099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9115425" cy="30099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eastAsia" w:ascii="楷体" w:hAnsi="楷体" w:eastAsia="楷体" w:cs="楷体"/>
          <w:caps w:val="0"/>
          <w:color w:val="000000"/>
          <w:spacing w:val="0"/>
          <w:sz w:val="32"/>
          <w:szCs w:val="32"/>
          <w:bdr w:val="none" w:color="auto" w:sz="0" w:space="0"/>
        </w:rPr>
        <w:t>（三）政府信息管理情况。</w:t>
      </w:r>
      <w:r>
        <w:rPr>
          <w:rFonts w:hint="eastAsia" w:ascii="仿宋" w:hAnsi="仿宋" w:eastAsia="仿宋" w:cs="仿宋"/>
          <w:caps w:val="0"/>
          <w:color w:val="000000"/>
          <w:spacing w:val="0"/>
          <w:sz w:val="32"/>
          <w:szCs w:val="32"/>
          <w:bdr w:val="none" w:color="auto" w:sz="0" w:space="0"/>
          <w:shd w:val="clear" w:fill="FFFFFF"/>
        </w:rPr>
        <w:t>加强规范性文件管理，严格落实政府信息公开属性源头认定机制，文件拟稿纸均设有公开属性选项，文件正文均在固定位置标注公开属性；</w:t>
      </w:r>
      <w:r>
        <w:rPr>
          <w:rFonts w:hint="eastAsia" w:ascii="仿宋_GB2312" w:eastAsia="仿宋_GB2312" w:cs="仿宋_GB2312"/>
          <w:caps w:val="0"/>
          <w:color w:val="333333"/>
          <w:spacing w:val="0"/>
          <w:sz w:val="32"/>
          <w:szCs w:val="32"/>
          <w:bdr w:val="none" w:color="auto" w:sz="0" w:space="0"/>
        </w:rPr>
        <w:t>采取“技防+人防”的方式，对25个部门、园区及中心在政府门户网站政务公开板块信息发布情况开展常态化检查，将部门存在的信息公开内容不完整、不全面，更新不及时，信息归类不准确，错敏信息等问题进行了督促整改；整合政务公开平台及网站平台信息搜索，</w:t>
      </w:r>
      <w:r>
        <w:rPr>
          <w:rFonts w:hint="eastAsia" w:ascii="仿宋" w:hAnsi="仿宋" w:eastAsia="仿宋" w:cs="仿宋"/>
          <w:caps w:val="0"/>
          <w:color w:val="000000"/>
          <w:spacing w:val="0"/>
          <w:sz w:val="32"/>
          <w:szCs w:val="32"/>
          <w:bdr w:val="none" w:color="auto" w:sz="0" w:space="0"/>
          <w:shd w:val="clear" w:fill="FFFFFF"/>
        </w:rPr>
        <w:t>可根据设定的条件实现精确检索，同时实现按访问者“个人”或“企业”身份精准推送相关信息。</w:t>
      </w:r>
      <w:r>
        <w:rPr>
          <w:rFonts w:hint="eastAsia" w:ascii="仿宋_GB2312" w:eastAsia="仿宋_GB2312" w:cs="仿宋_GB2312"/>
          <w:caps w:val="0"/>
          <w:color w:val="333333"/>
          <w:spacing w:val="0"/>
          <w:sz w:val="32"/>
          <w:szCs w:val="32"/>
          <w:bdr w:val="none" w:color="auto" w:sz="0" w:space="0"/>
        </w:rPr>
        <w:t>使之更加便民化。</w:t>
      </w:r>
      <w:r>
        <w:rPr>
          <w:rFonts w:hint="eastAsia" w:ascii="仿宋_GB2312" w:eastAsia="仿宋_GB2312" w:cs="仿宋_GB2312"/>
          <w:caps w:val="0"/>
          <w:color w:val="333333"/>
          <w:spacing w:val="0"/>
          <w:sz w:val="32"/>
          <w:szCs w:val="32"/>
          <w:bdr w:val="none" w:color="auto" w:sz="0" w:space="0"/>
        </w:rPr>
        <w:drawing>
          <wp:inline distT="0" distB="0" distL="114300" distR="114300">
            <wp:extent cx="10058400" cy="334327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0058400" cy="3343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line="560" w:lineRule="atLeast"/>
        <w:ind w:left="0" w:firstLine="640"/>
        <w:jc w:val="both"/>
      </w:pPr>
      <w:r>
        <w:rPr>
          <w:rFonts w:hint="eastAsia" w:ascii="楷体" w:hAnsi="楷体" w:eastAsia="楷体" w:cs="楷体"/>
          <w:caps w:val="0"/>
          <w:color w:val="000000"/>
          <w:spacing w:val="0"/>
          <w:sz w:val="32"/>
          <w:szCs w:val="32"/>
          <w:bdr w:val="none" w:color="auto" w:sz="0" w:space="0"/>
        </w:rPr>
        <w:t>（四）政府信息公开平台建设情况。</w:t>
      </w:r>
      <w:r>
        <w:rPr>
          <w:rFonts w:hint="eastAsia" w:ascii="仿宋_GB2312" w:eastAsia="仿宋_GB2312" w:cs="仿宋_GB2312"/>
          <w:caps w:val="0"/>
          <w:color w:val="333333"/>
          <w:spacing w:val="0"/>
          <w:sz w:val="32"/>
          <w:szCs w:val="32"/>
          <w:bdr w:val="none" w:color="auto" w:sz="0" w:space="0"/>
        </w:rPr>
        <w:t>一是自2021年4月份启用新政务公开平台，我区进一步优化公开栏目设置，加强政务公开管理工作，为全面主动公开各类政府信息、集中受理群众提交的政府信息公开申请提供便利，为深入推进政务公开工作打下坚实基础。二是安排专人负责新平台迁移后的数据质量，完成各部门各栏目的映射操作2000余次，解决新平台各类问题500余处，确保新平台的顺利上线。三是通过部门反馈、定期巡查等方式，发现问题及时处理，全年共处理新平台各类问题近千次，有力了确保了政务公开平台的稳定运行。四是针对政府网站及14个部门的27个政务新媒体开展日常检查工作，将发现的超期未更新、信息发布不规范等问题，及时反馈相关部门立行整改</w:t>
      </w:r>
      <w:r>
        <w:rPr>
          <w:rFonts w:hint="eastAsia" w:ascii="仿宋" w:hAnsi="仿宋" w:eastAsia="仿宋" w:cs="仿宋"/>
          <w:caps w:val="0"/>
          <w:color w:val="000000"/>
          <w:spacing w:val="0"/>
          <w:sz w:val="32"/>
          <w:szCs w:val="3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40"/>
        <w:jc w:val="both"/>
      </w:pPr>
      <w:r>
        <w:rPr>
          <w:rFonts w:hint="eastAsia" w:ascii="仿宋" w:hAnsi="仿宋" w:eastAsia="仿宋" w:cs="仿宋"/>
          <w:caps w:val="0"/>
          <w:color w:val="000000"/>
          <w:spacing w:val="0"/>
          <w:sz w:val="32"/>
          <w:szCs w:val="32"/>
          <w:bdr w:val="none" w:color="auto" w:sz="0" w:space="0"/>
        </w:rPr>
        <w:drawing>
          <wp:inline distT="0" distB="0" distL="114300" distR="114300">
            <wp:extent cx="5200650" cy="3286125"/>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5200650" cy="3286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40"/>
        <w:jc w:val="both"/>
      </w:pPr>
      <w:r>
        <w:rPr>
          <w:rFonts w:hint="eastAsia" w:ascii="楷体" w:hAnsi="楷体" w:eastAsia="楷体" w:cs="楷体"/>
          <w:caps w:val="0"/>
          <w:color w:val="000000"/>
          <w:spacing w:val="0"/>
          <w:sz w:val="32"/>
          <w:szCs w:val="32"/>
          <w:bdr w:val="none" w:color="auto" w:sz="0" w:space="0"/>
        </w:rPr>
        <w:t>（五）监督保障情况。</w:t>
      </w:r>
      <w:r>
        <w:rPr>
          <w:rFonts w:hint="eastAsia" w:ascii="仿宋_GB2312" w:eastAsia="仿宋_GB2312" w:cs="仿宋_GB2312"/>
          <w:caps w:val="0"/>
          <w:color w:val="333333"/>
          <w:spacing w:val="0"/>
          <w:sz w:val="32"/>
          <w:szCs w:val="32"/>
          <w:bdr w:val="none" w:color="auto" w:sz="0" w:space="0"/>
        </w:rPr>
        <w:t>一是加强督导考核，促进政务公开各项工作落实到位。定期开展政务公开平台问题梳理工作，结合市政务公开办问题通报，将存在的问题及时反馈相关部门，整改情况纳入到高新区部门绩效月度考核，有力的促进了相关工作的落实见效。二是加大培训力度，不断提升政务公开工作质量。针对高新区机构改革造成的各单位、各镇办政务公开工作人员变动情况，2021年通过邀请上级领导、专家授课等形式，举办了多期政务公开业务知识培训，针对平台的操作使用及信息公开工作最新要求等进行了详细讲解，不断提升我区政务公开工作人员的业务能力及信息公开工作质量，努力建设利企便民、亮点纷呈、人民满意的“网上政府”</w:t>
      </w:r>
      <w:r>
        <w:rPr>
          <w:rFonts w:hint="eastAsia" w:ascii="仿宋" w:hAnsi="仿宋" w:eastAsia="仿宋" w:cs="仿宋"/>
          <w:caps w:val="0"/>
          <w:color w:val="000000"/>
          <w:spacing w:val="0"/>
          <w:sz w:val="32"/>
          <w:szCs w:val="32"/>
          <w:bdr w:val="none" w:color="auto" w:sz="0" w:space="0"/>
        </w:rPr>
        <w:t>。</w:t>
      </w:r>
      <w:r>
        <w:rPr>
          <w:rFonts w:hint="eastAsia" w:ascii="仿宋" w:hAnsi="仿宋" w:eastAsia="仿宋" w:cs="仿宋"/>
          <w:caps w:val="0"/>
          <w:color w:val="000000"/>
          <w:spacing w:val="0"/>
          <w:sz w:val="32"/>
          <w:szCs w:val="32"/>
          <w:bdr w:val="none" w:color="auto" w:sz="0" w:space="0"/>
        </w:rPr>
        <w:drawing>
          <wp:inline distT="0" distB="0" distL="114300" distR="114300">
            <wp:extent cx="6715125" cy="47625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4"/>
                    <a:stretch>
                      <a:fillRect/>
                    </a:stretch>
                  </pic:blipFill>
                  <pic:spPr>
                    <a:xfrm>
                      <a:off x="0" y="0"/>
                      <a:ext cx="6715125" cy="4762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ind w:right="0"/>
        <w:jc w:val="both"/>
      </w:pPr>
      <w:r>
        <w:rPr>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黑体" w:hAnsi="宋体" w:eastAsia="黑体" w:cs="黑体"/>
          <w:caps w:val="0"/>
          <w:color w:val="000000"/>
          <w:spacing w:val="0"/>
          <w:sz w:val="32"/>
          <w:szCs w:val="32"/>
          <w:bdr w:val="none" w:color="auto" w:sz="0" w:space="0"/>
        </w:rPr>
        <w:t>二、主动公开政府信息情况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65"/>
        <w:gridCol w:w="1897"/>
        <w:gridCol w:w="1939"/>
        <w:gridCol w:w="21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3" w:hRule="atLeast"/>
          <w:jc w:val="center"/>
        </w:trPr>
        <w:tc>
          <w:tcPr>
            <w:tcW w:w="8931"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信息内容</w:t>
            </w:r>
          </w:p>
        </w:tc>
        <w:tc>
          <w:tcPr>
            <w:tcW w:w="19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本年制发件数</w:t>
            </w:r>
          </w:p>
        </w:tc>
        <w:tc>
          <w:tcPr>
            <w:tcW w:w="20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本年废止件数</w:t>
            </w:r>
          </w:p>
        </w:tc>
        <w:tc>
          <w:tcPr>
            <w:tcW w:w="2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8"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规章</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ascii="Calibri" w:hAnsi="Calibri" w:cs="Calibri"/>
                <w:sz w:val="24"/>
                <w:szCs w:val="24"/>
              </w:rPr>
              <w:t>0</w:t>
            </w:r>
          </w:p>
        </w:tc>
        <w:tc>
          <w:tcPr>
            <w:tcW w:w="20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24"/>
                <w:szCs w:val="24"/>
              </w:rPr>
              <w:t>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行政规范性文件</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sz w:val="24"/>
                <w:szCs w:val="24"/>
              </w:rPr>
              <w:t>11</w:t>
            </w:r>
          </w:p>
        </w:tc>
        <w:tc>
          <w:tcPr>
            <w:tcW w:w="20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sz w:val="24"/>
                <w:szCs w:val="24"/>
              </w:rPr>
              <w:t>4</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sz w:val="24"/>
                <w:szCs w:val="24"/>
              </w:rPr>
              <w:t>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信息内容</w:t>
            </w:r>
          </w:p>
        </w:tc>
        <w:tc>
          <w:tcPr>
            <w:tcW w:w="623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行政许可</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sz w:val="24"/>
                <w:szCs w:val="24"/>
              </w:rPr>
              <w:t>9830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8931"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信息内容</w:t>
            </w:r>
          </w:p>
        </w:tc>
        <w:tc>
          <w:tcPr>
            <w:tcW w:w="623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行政处罚</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sz w:val="24"/>
                <w:szCs w:val="24"/>
              </w:rPr>
              <w:t>966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行政强制</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sz w:val="24"/>
                <w:szCs w:val="24"/>
              </w:rPr>
              <w:t>166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8931"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信息内容</w:t>
            </w:r>
          </w:p>
        </w:tc>
        <w:tc>
          <w:tcPr>
            <w:tcW w:w="623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行政事业性收费</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sz w:val="24"/>
                <w:szCs w:val="24"/>
              </w:rPr>
              <w:t>5953.02496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仿宋" w:hAnsi="仿宋" w:eastAsia="仿宋" w:cs="仿宋"/>
          <w:caps w:val="0"/>
          <w:color w:val="000000"/>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黑体" w:hAnsi="宋体" w:eastAsia="黑体" w:cs="黑体"/>
          <w:caps w:val="0"/>
          <w:color w:val="000000"/>
          <w:spacing w:val="0"/>
          <w:sz w:val="32"/>
          <w:szCs w:val="32"/>
          <w:bdr w:val="none" w:color="auto" w:sz="0" w:space="0"/>
        </w:rPr>
        <w:t>三、收到和处理政府信息公开申请情况</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36"/>
        <w:gridCol w:w="1342"/>
        <w:gridCol w:w="2119"/>
        <w:gridCol w:w="530"/>
        <w:gridCol w:w="632"/>
        <w:gridCol w:w="631"/>
        <w:gridCol w:w="632"/>
        <w:gridCol w:w="632"/>
        <w:gridCol w:w="632"/>
        <w:gridCol w:w="7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4820"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（本列数据的勾稽关系为：第一项加第二项之和，等于第三项加第四项之和）</w:t>
            </w:r>
          </w:p>
        </w:tc>
        <w:tc>
          <w:tcPr>
            <w:tcW w:w="4961"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1"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自然人</w:t>
            </w:r>
          </w:p>
        </w:tc>
        <w:tc>
          <w:tcPr>
            <w:tcW w:w="3544"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法人或其他组织</w:t>
            </w:r>
          </w:p>
        </w:tc>
        <w:tc>
          <w:tcPr>
            <w:tcW w:w="85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27"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商业企业</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科研机构</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社会公益组织</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法律服务机构</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其他</w:t>
            </w:r>
          </w:p>
        </w:tc>
        <w:tc>
          <w:tcPr>
            <w:tcW w:w="85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9" w:hRule="atLeast"/>
        </w:trPr>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一、本年新收政府信息公开申请数量</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49</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9" w:hRule="atLeast"/>
        </w:trPr>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二、上年结转政府信息公开申请数量</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8" w:hRule="atLeast"/>
        </w:trPr>
        <w:tc>
          <w:tcPr>
            <w:tcW w:w="56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三、本年度办理结果</w:t>
            </w:r>
          </w:p>
        </w:tc>
        <w:tc>
          <w:tcPr>
            <w:tcW w:w="425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（一）予以公开</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27</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25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（二）部分公开（区分处理的，只计这一情形，不计其他情形）</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0"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（三）不予公开</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1．属于国家秘密</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6"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2．其他法律行政法规禁止公开</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9"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3．危及“三安全一稳定”</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4．保护第三方合法权益</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5．属于三类内部事务信息</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9"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6．属于四类过程性信息</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5"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7．属于行政执法案卷</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8．属于行政查询事项</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2"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（四）无法提供</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1．本机关不掌握相关政府信息</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16</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8"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2．没有现成信息需要另行制作</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3．补正后申请内容仍不明确</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3"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（五）不予处理</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1．信访举报投诉类申请</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2．重复申请</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83"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3．要求提供公开出版物</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4．无正当理由大量反复申请</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180" w:right="0" w:hanging="180"/>
            </w:pPr>
            <w:r>
              <w:rPr>
                <w:rFonts w:hint="eastAsia" w:ascii="宋体" w:hAnsi="宋体" w:eastAsia="宋体" w:cs="宋体"/>
                <w:caps w:val="0"/>
                <w:color w:val="000000"/>
                <w:spacing w:val="0"/>
                <w:sz w:val="18"/>
                <w:szCs w:val="18"/>
              </w:rPr>
              <w:t>5．要求行政机关确认或重新出具已获取信息</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4" w:hRule="atLeast"/>
        </w:trPr>
        <w:tc>
          <w:tcPr>
            <w:tcW w:w="5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 </w:t>
            </w:r>
          </w:p>
        </w:tc>
        <w:tc>
          <w:tcPr>
            <w:tcW w:w="425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（六）其他处理</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1</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trPr>
        <w:tc>
          <w:tcPr>
            <w:tcW w:w="5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 </w:t>
            </w:r>
          </w:p>
        </w:tc>
        <w:tc>
          <w:tcPr>
            <w:tcW w:w="425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18"/>
                <w:szCs w:val="18"/>
              </w:rPr>
              <w:t>（七）总计</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44</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82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color w:val="000000"/>
                <w:spacing w:val="0"/>
                <w:sz w:val="21"/>
                <w:szCs w:val="21"/>
              </w:rPr>
              <w:t>四、结转下年度继续办理</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5</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21"/>
                <w:szCs w:val="21"/>
              </w:rPr>
              <w:t>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Calibri" w:hAnsi="Calibri" w:cs="Calibri"/>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Calibri" w:hAnsi="Calibri" w:cs="Calibri"/>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Calibri" w:hAnsi="Calibri" w:cs="Calibri"/>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黑体" w:hAnsi="宋体" w:eastAsia="黑体" w:cs="黑体"/>
          <w:caps w:val="0"/>
          <w:color w:val="000000"/>
          <w:spacing w:val="0"/>
          <w:sz w:val="32"/>
          <w:szCs w:val="32"/>
          <w:bdr w:val="none" w:color="auto" w:sz="0" w:space="0"/>
        </w:rPr>
        <w:t>四、政府信息公开行政复议、行政诉讼情况</w:t>
      </w:r>
    </w:p>
    <w:tbl>
      <w:tblPr>
        <w:tblW w:w="8532"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68"/>
        <w:gridCol w:w="568"/>
        <w:gridCol w:w="568"/>
        <w:gridCol w:w="569"/>
        <w:gridCol w:w="569"/>
        <w:gridCol w:w="569"/>
        <w:gridCol w:w="569"/>
        <w:gridCol w:w="569"/>
        <w:gridCol w:w="569"/>
        <w:gridCol w:w="569"/>
        <w:gridCol w:w="569"/>
        <w:gridCol w:w="569"/>
        <w:gridCol w:w="569"/>
        <w:gridCol w:w="569"/>
        <w:gridCol w:w="5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2" w:hRule="atLeast"/>
        </w:trPr>
        <w:tc>
          <w:tcPr>
            <w:tcW w:w="192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行政复议</w:t>
            </w:r>
          </w:p>
        </w:tc>
        <w:tc>
          <w:tcPr>
            <w:tcW w:w="3836"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3" w:hRule="atLeast"/>
        </w:trPr>
        <w:tc>
          <w:tcPr>
            <w:tcW w:w="36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结果维持</w:t>
            </w:r>
          </w:p>
        </w:tc>
        <w:tc>
          <w:tcPr>
            <w:tcW w:w="35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结果纠正</w:t>
            </w:r>
          </w:p>
        </w:tc>
        <w:tc>
          <w:tcPr>
            <w:tcW w:w="38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其他结果</w:t>
            </w:r>
          </w:p>
        </w:tc>
        <w:tc>
          <w:tcPr>
            <w:tcW w:w="41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尚未审结</w:t>
            </w:r>
          </w:p>
        </w:tc>
        <w:tc>
          <w:tcPr>
            <w:tcW w:w="40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总计</w:t>
            </w:r>
          </w:p>
        </w:tc>
        <w:tc>
          <w:tcPr>
            <w:tcW w:w="1958"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未经复议直接起诉</w:t>
            </w:r>
          </w:p>
        </w:tc>
        <w:tc>
          <w:tcPr>
            <w:tcW w:w="1878"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c>
          <w:tcPr>
            <w:tcW w:w="3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8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1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结果维持</w:t>
            </w:r>
          </w:p>
        </w:tc>
        <w:tc>
          <w:tcPr>
            <w:tcW w:w="4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结果纠正</w:t>
            </w:r>
          </w:p>
        </w:tc>
        <w:tc>
          <w:tcPr>
            <w:tcW w:w="4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其他结果</w:t>
            </w:r>
          </w:p>
        </w:tc>
        <w:tc>
          <w:tcPr>
            <w:tcW w:w="3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尚未审结</w:t>
            </w:r>
          </w:p>
        </w:tc>
        <w:tc>
          <w:tcPr>
            <w:tcW w:w="3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总计</w:t>
            </w:r>
          </w:p>
        </w:tc>
        <w:tc>
          <w:tcPr>
            <w:tcW w:w="41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结果维持</w:t>
            </w:r>
          </w:p>
        </w:tc>
        <w:tc>
          <w:tcPr>
            <w:tcW w:w="3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结果纠正</w:t>
            </w:r>
          </w:p>
        </w:tc>
        <w:tc>
          <w:tcPr>
            <w:tcW w:w="4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其他结果</w:t>
            </w:r>
          </w:p>
        </w:tc>
        <w:tc>
          <w:tcPr>
            <w:tcW w:w="37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尚未审结</w:t>
            </w:r>
          </w:p>
        </w:tc>
        <w:tc>
          <w:tcPr>
            <w:tcW w:w="3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rPr>
        <w:tc>
          <w:tcPr>
            <w:tcW w:w="3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sz w:val="19"/>
                <w:szCs w:val="19"/>
              </w:rPr>
              <w:t>7</w:t>
            </w:r>
          </w:p>
        </w:tc>
        <w:tc>
          <w:tcPr>
            <w:tcW w:w="3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18"/>
                <w:szCs w:val="18"/>
              </w:rPr>
              <w:t>0</w:t>
            </w:r>
          </w:p>
        </w:tc>
        <w:tc>
          <w:tcPr>
            <w:tcW w:w="3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eastAsia="宋体" w:cs="Calibri"/>
                <w:caps w:val="0"/>
                <w:color w:val="000000"/>
                <w:spacing w:val="0"/>
                <w:sz w:val="18"/>
                <w:szCs w:val="18"/>
              </w:rPr>
              <w:t>1</w:t>
            </w:r>
          </w:p>
        </w:tc>
        <w:tc>
          <w:tcPr>
            <w:tcW w:w="4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pPr>
            <w:r>
              <w:rPr>
                <w:rFonts w:hint="default" w:ascii="Calibri" w:hAnsi="Calibri" w:cs="Calibri"/>
                <w:caps w:val="0"/>
                <w:color w:val="000000"/>
                <w:spacing w:val="0"/>
                <w:sz w:val="21"/>
                <w:szCs w:val="21"/>
              </w:rPr>
              <w:t>0</w:t>
            </w:r>
          </w:p>
        </w:tc>
        <w:tc>
          <w:tcPr>
            <w:tcW w:w="4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aps w:val="0"/>
                <w:color w:val="000000"/>
                <w:spacing w:val="0"/>
                <w:sz w:val="21"/>
                <w:szCs w:val="21"/>
              </w:rPr>
              <w:t>8</w:t>
            </w:r>
          </w:p>
        </w:tc>
        <w:tc>
          <w:tcPr>
            <w:tcW w:w="3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aps w:val="0"/>
                <w:color w:val="000000"/>
                <w:spacing w:val="0"/>
                <w:sz w:val="21"/>
                <w:szCs w:val="21"/>
              </w:rPr>
              <w:t>0</w:t>
            </w:r>
          </w:p>
        </w:tc>
        <w:tc>
          <w:tcPr>
            <w:tcW w:w="4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aps w:val="0"/>
                <w:color w:val="000000"/>
                <w:spacing w:val="0"/>
                <w:sz w:val="21"/>
                <w:szCs w:val="21"/>
              </w:rPr>
              <w:t>0</w:t>
            </w:r>
          </w:p>
        </w:tc>
        <w:tc>
          <w:tcPr>
            <w:tcW w:w="4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aps w:val="0"/>
                <w:color w:val="000000"/>
                <w:spacing w:val="0"/>
                <w:sz w:val="21"/>
                <w:szCs w:val="21"/>
              </w:rPr>
              <w:t>0</w:t>
            </w:r>
          </w:p>
        </w:tc>
        <w:tc>
          <w:tcPr>
            <w:tcW w:w="3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aps w:val="0"/>
                <w:color w:val="000000"/>
                <w:spacing w:val="0"/>
                <w:sz w:val="21"/>
                <w:szCs w:val="21"/>
              </w:rPr>
              <w:t>0</w:t>
            </w:r>
          </w:p>
        </w:tc>
        <w:tc>
          <w:tcPr>
            <w:tcW w:w="3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aps w:val="0"/>
                <w:color w:val="000000"/>
                <w:spacing w:val="0"/>
                <w:sz w:val="21"/>
                <w:szCs w:val="21"/>
              </w:rPr>
              <w:t>0</w:t>
            </w:r>
          </w:p>
        </w:tc>
        <w:tc>
          <w:tcPr>
            <w:tcW w:w="4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aps w:val="0"/>
                <w:color w:val="000000"/>
                <w:spacing w:val="0"/>
                <w:sz w:val="21"/>
                <w:szCs w:val="21"/>
              </w:rPr>
              <w:t>3</w:t>
            </w:r>
          </w:p>
        </w:tc>
        <w:tc>
          <w:tcPr>
            <w:tcW w:w="3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aps w:val="0"/>
                <w:color w:val="000000"/>
                <w:spacing w:val="0"/>
                <w:sz w:val="21"/>
                <w:szCs w:val="21"/>
              </w:rPr>
              <w:t>0</w:t>
            </w:r>
          </w:p>
        </w:tc>
        <w:tc>
          <w:tcPr>
            <w:tcW w:w="4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aps w:val="0"/>
                <w:color w:val="000000"/>
                <w:spacing w:val="0"/>
                <w:sz w:val="21"/>
                <w:szCs w:val="21"/>
              </w:rPr>
              <w:t>0</w:t>
            </w:r>
          </w:p>
        </w:tc>
        <w:tc>
          <w:tcPr>
            <w:tcW w:w="3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caps w:val="0"/>
                <w:color w:val="000000"/>
                <w:spacing w:val="0"/>
                <w:sz w:val="21"/>
                <w:szCs w:val="21"/>
              </w:rPr>
              <w:t>0</w:t>
            </w:r>
          </w:p>
        </w:tc>
        <w:tc>
          <w:tcPr>
            <w:tcW w:w="3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eastAsia="宋体" w:cs="Calibri"/>
                <w:caps w:val="0"/>
                <w:color w:val="000000"/>
                <w:spacing w:val="0"/>
                <w:sz w:val="21"/>
                <w:szCs w:val="21"/>
              </w:rPr>
              <w:t>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ascii="微软雅黑" w:hAnsi="微软雅黑" w:eastAsia="微软雅黑" w:cs="微软雅黑"/>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8" w:right="0" w:firstLine="0"/>
      </w:pPr>
      <w:r>
        <w:rPr>
          <w:rFonts w:hint="eastAsia" w:ascii="黑体" w:hAnsi="宋体" w:eastAsia="黑体" w:cs="黑体"/>
          <w:caps w:val="0"/>
          <w:color w:val="000000"/>
          <w:spacing w:val="0"/>
          <w:sz w:val="32"/>
          <w:szCs w:val="32"/>
          <w:bdr w:val="none" w:color="auto" w:sz="0" w:space="0"/>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ascii="仿宋_GB2312" w:hAnsi="仿宋_GB2312" w:eastAsia="仿宋_GB2312" w:cs="仿宋_GB2312"/>
          <w:caps w:val="0"/>
          <w:color w:val="000000"/>
          <w:spacing w:val="0"/>
          <w:sz w:val="32"/>
          <w:szCs w:val="32"/>
          <w:bdr w:val="none" w:color="auto" w:sz="0" w:space="0"/>
        </w:rPr>
        <w:t>2021年，淄博高新区政府信息公开工作虽然取得了一定成效，但与省、市要求和群众期待相比还有一定差距，主要表现在以下几个方面：</w:t>
      </w:r>
      <w:r>
        <w:rPr>
          <w:rStyle w:val="6"/>
          <w:rFonts w:ascii="仿宋_GB2312" w:hAnsi="仿宋_GB2312" w:eastAsia="仿宋_GB2312" w:cs="仿宋_GB2312"/>
          <w:caps w:val="0"/>
          <w:color w:val="000000"/>
          <w:spacing w:val="0"/>
          <w:sz w:val="32"/>
          <w:szCs w:val="32"/>
          <w:bdr w:val="none" w:color="auto" w:sz="0" w:space="0"/>
        </w:rPr>
        <w:t>一是政务公开标准化建设基础薄弱。</w:t>
      </w:r>
      <w:r>
        <w:rPr>
          <w:rFonts w:ascii="仿宋_GB2312" w:hAnsi="仿宋_GB2312" w:eastAsia="仿宋_GB2312" w:cs="仿宋_GB2312"/>
          <w:caps w:val="0"/>
          <w:color w:val="000000"/>
          <w:spacing w:val="0"/>
          <w:sz w:val="32"/>
          <w:szCs w:val="32"/>
          <w:bdr w:val="none" w:color="auto" w:sz="0" w:space="0"/>
        </w:rPr>
        <w:t>个别部门未制定或及时调整政务公开领导小组及主动公开基本目录，部门内部信息公开制度不完善，没有对各部门政务公开工作开展监督考核。</w:t>
      </w:r>
      <w:r>
        <w:rPr>
          <w:rStyle w:val="6"/>
          <w:rFonts w:ascii="仿宋_GB2312" w:hAnsi="仿宋_GB2312" w:eastAsia="仿宋_GB2312" w:cs="仿宋_GB2312"/>
          <w:caps w:val="0"/>
          <w:color w:val="000000"/>
          <w:spacing w:val="0"/>
          <w:sz w:val="32"/>
          <w:szCs w:val="32"/>
          <w:bdr w:val="none" w:color="auto" w:sz="0" w:space="0"/>
        </w:rPr>
        <w:t xml:space="preserve">二是政务公开工作力量有待进一步加强。 </w:t>
      </w:r>
      <w:r>
        <w:rPr>
          <w:rFonts w:ascii="仿宋_GB2312" w:hAnsi="仿宋_GB2312" w:eastAsia="仿宋_GB2312" w:cs="仿宋_GB2312"/>
          <w:caps w:val="0"/>
          <w:color w:val="000000"/>
          <w:spacing w:val="0"/>
          <w:sz w:val="32"/>
          <w:szCs w:val="32"/>
          <w:bdr w:val="none" w:color="auto" w:sz="0" w:space="0"/>
        </w:rPr>
        <w:t>基层政务公开工作人员流动性较大，专业水平有待提高，部分工作人员的公开意识和责任意识不足，对政务公开相关政策的认识和落实不到位，开展培训的频次和针对性有待进一步加强。</w:t>
      </w:r>
      <w:r>
        <w:rPr>
          <w:rStyle w:val="6"/>
          <w:rFonts w:ascii="仿宋_GB2312" w:hAnsi="仿宋_GB2312" w:eastAsia="仿宋_GB2312" w:cs="仿宋_GB2312"/>
          <w:caps w:val="0"/>
          <w:color w:val="000000"/>
          <w:spacing w:val="0"/>
          <w:sz w:val="32"/>
          <w:szCs w:val="32"/>
          <w:bdr w:val="none" w:color="auto" w:sz="0" w:space="0"/>
        </w:rPr>
        <w:t>三是政策解读多样性差。</w:t>
      </w:r>
      <w:r>
        <w:rPr>
          <w:rFonts w:ascii="仿宋_GB2312" w:hAnsi="仿宋_GB2312" w:eastAsia="仿宋_GB2312" w:cs="仿宋_GB2312"/>
          <w:caps w:val="0"/>
          <w:color w:val="000000"/>
          <w:spacing w:val="0"/>
          <w:sz w:val="32"/>
          <w:szCs w:val="32"/>
          <w:bdr w:val="none" w:color="auto" w:sz="0" w:space="0"/>
        </w:rPr>
        <w:t>对涉及群众切身利益的政策文件，解读形式单一，仅通过文稿及图文形式进行解读。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ascii="仿宋_GB2312" w:hAnsi="仿宋_GB2312" w:eastAsia="仿宋_GB2312" w:cs="仿宋_GB2312"/>
          <w:caps w:val="0"/>
          <w:color w:val="000000"/>
          <w:spacing w:val="0"/>
          <w:sz w:val="32"/>
          <w:szCs w:val="32"/>
          <w:bdr w:val="none" w:color="auto" w:sz="0" w:space="0"/>
        </w:rPr>
        <w:t>针对工作中存在的问题，我们进行了如下改进：</w:t>
      </w:r>
      <w:r>
        <w:rPr>
          <w:rStyle w:val="6"/>
          <w:rFonts w:ascii="仿宋_GB2312" w:hAnsi="仿宋_GB2312" w:eastAsia="仿宋_GB2312" w:cs="仿宋_GB2312"/>
          <w:caps w:val="0"/>
          <w:color w:val="000000"/>
          <w:spacing w:val="0"/>
          <w:sz w:val="32"/>
          <w:szCs w:val="32"/>
          <w:bdr w:val="none" w:color="auto" w:sz="0" w:space="0"/>
        </w:rPr>
        <w:t>一是加强组织领导及监督考核，完善政务公开标准化体系建设。</w:t>
      </w:r>
      <w:r>
        <w:rPr>
          <w:rFonts w:ascii="仿宋_GB2312" w:hAnsi="仿宋_GB2312" w:eastAsia="仿宋_GB2312" w:cs="仿宋_GB2312"/>
          <w:caps w:val="0"/>
          <w:color w:val="000000"/>
          <w:spacing w:val="0"/>
          <w:sz w:val="32"/>
          <w:szCs w:val="32"/>
          <w:bdr w:val="none" w:color="auto" w:sz="0" w:space="0"/>
        </w:rPr>
        <w:t>积极组织召开工作部署会，指导各相关部门制定或及时调整政务公开领导小组及主动公开基本目录，并及时在网站进行主动公开；针对</w:t>
      </w:r>
      <w:r>
        <w:rPr>
          <w:rFonts w:ascii="仿宋_GB2312" w:hAnsi="仿宋_GB2312" w:eastAsia="仿宋_GB2312" w:cs="仿宋_GB2312"/>
          <w:caps w:val="0"/>
          <w:color w:val="333333"/>
          <w:spacing w:val="0"/>
          <w:sz w:val="32"/>
          <w:szCs w:val="32"/>
          <w:bdr w:val="none" w:color="auto" w:sz="0" w:space="0"/>
        </w:rPr>
        <w:t>门户网站政务公开板块信息发布情况开展常态化检查，并</w:t>
      </w:r>
      <w:r>
        <w:rPr>
          <w:rFonts w:ascii="仿宋_GB2312" w:hAnsi="仿宋_GB2312" w:eastAsia="仿宋_GB2312" w:cs="仿宋_GB2312"/>
          <w:caps w:val="0"/>
          <w:color w:val="000000"/>
          <w:spacing w:val="0"/>
          <w:sz w:val="32"/>
          <w:szCs w:val="32"/>
          <w:bdr w:val="none" w:color="auto" w:sz="0" w:space="0"/>
        </w:rPr>
        <w:t>将相关工作纳入高新区部门月度绩效考核，</w:t>
      </w:r>
      <w:r>
        <w:rPr>
          <w:rFonts w:ascii="仿宋_GB2312" w:hAnsi="仿宋_GB2312" w:eastAsia="仿宋_GB2312" w:cs="仿宋_GB2312"/>
          <w:caps w:val="0"/>
          <w:color w:val="333333"/>
          <w:spacing w:val="0"/>
          <w:sz w:val="32"/>
          <w:szCs w:val="32"/>
          <w:bdr w:val="none" w:color="auto" w:sz="0" w:space="0"/>
        </w:rPr>
        <w:t>有利确保政务公开相关工作落实到位</w:t>
      </w:r>
      <w:r>
        <w:rPr>
          <w:rFonts w:ascii="仿宋_GB2312" w:hAnsi="仿宋_GB2312" w:eastAsia="仿宋_GB2312" w:cs="仿宋_GB2312"/>
          <w:caps w:val="0"/>
          <w:color w:val="000000"/>
          <w:spacing w:val="0"/>
          <w:sz w:val="32"/>
          <w:szCs w:val="32"/>
          <w:bdr w:val="none" w:color="auto" w:sz="0" w:space="0"/>
        </w:rPr>
        <w:t>。</w:t>
      </w:r>
      <w:r>
        <w:rPr>
          <w:rStyle w:val="6"/>
          <w:rFonts w:ascii="仿宋_GB2312" w:hAnsi="仿宋_GB2312" w:eastAsia="仿宋_GB2312" w:cs="仿宋_GB2312"/>
          <w:caps w:val="0"/>
          <w:color w:val="000000"/>
          <w:spacing w:val="0"/>
          <w:sz w:val="32"/>
          <w:szCs w:val="32"/>
          <w:bdr w:val="none" w:color="auto" w:sz="0" w:space="0"/>
        </w:rPr>
        <w:t>二是加大培训力度，不断提高政务公开队伍专业素质。</w:t>
      </w:r>
      <w:r>
        <w:rPr>
          <w:rFonts w:ascii="仿宋_GB2312" w:hAnsi="仿宋_GB2312" w:eastAsia="仿宋_GB2312" w:cs="仿宋_GB2312"/>
          <w:caps w:val="0"/>
          <w:color w:val="333333"/>
          <w:spacing w:val="0"/>
          <w:sz w:val="32"/>
          <w:szCs w:val="32"/>
          <w:bdr w:val="none" w:color="auto" w:sz="0" w:space="0"/>
        </w:rPr>
        <w:t>通过邀请上级领导、专家授课等形式，举办了多期政务公开业务知识培训，针对平台的操作使用、信息公开规范、政策解读、迎评工作等方面进行了详细讲解，充分认识到新形势下政务公开管理工作的重要性，极大的提高基层政务公开工作人员能力和水平。</w:t>
      </w:r>
      <w:r>
        <w:rPr>
          <w:rStyle w:val="6"/>
          <w:rFonts w:ascii="仿宋_GB2312" w:hAnsi="仿宋_GB2312" w:eastAsia="仿宋_GB2312" w:cs="仿宋_GB2312"/>
          <w:caps w:val="0"/>
          <w:color w:val="000000"/>
          <w:spacing w:val="0"/>
          <w:sz w:val="32"/>
          <w:szCs w:val="32"/>
          <w:bdr w:val="none" w:color="auto" w:sz="0" w:space="0"/>
        </w:rPr>
        <w:t>三是继续深化政策解读工作。</w:t>
      </w:r>
      <w:r>
        <w:rPr>
          <w:rFonts w:ascii="仿宋_GB2312" w:hAnsi="仿宋_GB2312" w:eastAsia="仿宋_GB2312" w:cs="仿宋_GB2312"/>
          <w:caps w:val="0"/>
          <w:color w:val="333333"/>
          <w:spacing w:val="0"/>
          <w:sz w:val="32"/>
          <w:szCs w:val="32"/>
          <w:bdr w:val="none" w:color="auto" w:sz="0" w:space="0"/>
        </w:rPr>
        <w:t>要求各单位出台面向企业和市民的主动公开政策性文件及规范性文件，要100%开展政策解读。同时积极指导各部门采取领导解读、动漫解读、音频解读、简明问答、新闻发布会等解读形式对相关政策进行解读，丰富了政策解读的多样性。今年以来，相关政策通过多样化解读20余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pPr>
      <w:r>
        <w:rPr>
          <w:rStyle w:val="6"/>
          <w:rFonts w:hint="eastAsia" w:ascii="黑体" w:hAnsi="宋体" w:eastAsia="黑体" w:cs="黑体"/>
          <w:caps w:val="0"/>
          <w:color w:val="000000"/>
          <w:spacing w:val="0"/>
          <w:sz w:val="32"/>
          <w:szCs w:val="32"/>
          <w:bdr w:val="none" w:color="auto" w:sz="0" w:space="0"/>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pPr>
      <w:r>
        <w:rPr>
          <w:rFonts w:hint="eastAsia" w:ascii="黑体" w:hAnsi="宋体" w:eastAsia="黑体" w:cs="黑体"/>
          <w:caps w:val="0"/>
          <w:color w:val="000000"/>
          <w:spacing w:val="0"/>
          <w:sz w:val="32"/>
          <w:szCs w:val="32"/>
          <w:bdr w:val="none" w:color="auto" w:sz="0" w:space="0"/>
        </w:rPr>
        <w:t>（一）创新工作情况</w:t>
      </w:r>
    </w:p>
    <w:p>
      <w:pPr>
        <w:pStyle w:val="3"/>
        <w:keepNext w:val="0"/>
        <w:keepLines w:val="0"/>
        <w:widowControl/>
        <w:suppressLineNumbers w:val="0"/>
        <w:ind w:left="0" w:firstLine="620"/>
        <w:jc w:val="left"/>
      </w:pPr>
      <w:r>
        <w:rPr>
          <w:rFonts w:hint="eastAsia" w:ascii="黑体" w:hAnsi="宋体" w:eastAsia="黑体" w:cs="黑体"/>
          <w:color w:val="333333"/>
          <w:sz w:val="31"/>
          <w:szCs w:val="31"/>
        </w:rPr>
        <w:t xml:space="preserve">1.规范信息发布流程，确保信息内容质量 </w:t>
      </w:r>
    </w:p>
    <w:p>
      <w:pPr>
        <w:pStyle w:val="3"/>
        <w:keepNext w:val="0"/>
        <w:keepLines w:val="0"/>
        <w:widowControl/>
        <w:suppressLineNumbers w:val="0"/>
        <w:autoSpaceDE w:val="0"/>
        <w:autoSpaceDN/>
        <w:spacing w:line="560" w:lineRule="atLeast"/>
        <w:ind w:left="0" w:firstLine="640"/>
        <w:jc w:val="left"/>
      </w:pPr>
      <w:r>
        <w:rPr>
          <w:rFonts w:hint="eastAsia" w:ascii="仿宋_GB2312" w:eastAsia="仿宋_GB2312" w:cs="仿宋_GB2312"/>
          <w:caps w:val="0"/>
          <w:color w:val="333333"/>
          <w:spacing w:val="0"/>
          <w:sz w:val="32"/>
          <w:szCs w:val="32"/>
        </w:rPr>
        <w:t>一是规范各部门要选配1至2名工作职责人员，负责本部门政务公开的收集、撰写、报送及联络等工作，确保信息发布形成可持续、不间断的信息来源。同时，对本部门人事变动，及时调整了“政务公开工作领导小组”，部门也分别调整和充实了政务公开相关机构工作成员，逐步形成有领导分管、有专人负责的政务公开和信息公开工作落实推进机制。二是针对高新区机构改革造成的各单位、各镇办政务公开工作人员变动情况，2021 年通过邀请上级领导、专家授课等形式，举办了多期政务公开业务知识培训，针对平台的操作使用、信息公开规范、政策解读、迎评工作等方面进行了详细讲解，充分认识到新形势下政务公开管理工作的重要性，不断提升我区政务公开工作人员的业务能力，增强工作责任感，提升工作质量和水平。</w:t>
      </w:r>
      <w:r>
        <w:rPr>
          <w:rFonts w:hint="eastAsia" w:ascii="仿宋_GB2312" w:eastAsia="仿宋_GB2312" w:cs="仿宋_GB2312"/>
          <w:color w:val="333333"/>
          <w:sz w:val="31"/>
          <w:szCs w:val="31"/>
        </w:rPr>
        <w:t> </w:t>
      </w:r>
    </w:p>
    <w:p>
      <w:pPr>
        <w:pStyle w:val="3"/>
        <w:keepNext w:val="0"/>
        <w:keepLines w:val="0"/>
        <w:widowControl/>
        <w:suppressLineNumbers w:val="0"/>
        <w:ind w:left="0" w:firstLine="620"/>
        <w:jc w:val="left"/>
      </w:pPr>
      <w:r>
        <w:rPr>
          <w:rFonts w:hint="eastAsia" w:ascii="黑体" w:hAnsi="宋体" w:eastAsia="黑体" w:cs="黑体"/>
          <w:color w:val="333333"/>
          <w:sz w:val="31"/>
          <w:szCs w:val="31"/>
        </w:rPr>
        <w:t xml:space="preserve">2.强化信息内容更新，提高信息发布时效 </w:t>
      </w:r>
    </w:p>
    <w:p>
      <w:pPr>
        <w:pStyle w:val="3"/>
        <w:keepNext w:val="0"/>
        <w:keepLines w:val="0"/>
        <w:widowControl/>
        <w:suppressLineNumbers w:val="0"/>
        <w:autoSpaceDE w:val="0"/>
        <w:autoSpaceDN/>
        <w:spacing w:line="560" w:lineRule="atLeast"/>
        <w:ind w:left="0" w:firstLine="640"/>
        <w:jc w:val="left"/>
      </w:pPr>
      <w:r>
        <w:rPr>
          <w:rFonts w:hint="eastAsia" w:ascii="仿宋_GB2312" w:eastAsia="仿宋_GB2312" w:cs="仿宋_GB2312"/>
          <w:caps w:val="0"/>
          <w:color w:val="333333"/>
          <w:spacing w:val="0"/>
          <w:sz w:val="32"/>
          <w:szCs w:val="32"/>
        </w:rPr>
        <w:t xml:space="preserve">强化各部门要将政府网站作为信息公开的第一平台，建立完善的政务公开内容更新机制，第一时间发布本部门重要规章及公开规范性文件、重要会议、重要活动、重大政策信息等政府信息，做到决策公开、执行公开、管理公开、服务公开、结果公开。一是自2021年6月份启用新政务公开新平台，我区进一步优化公开栏目设置，着力强化公开、解读、互动全流程联动，加强政务公开管理工作，为全面主动公开各类政府信息、集中受理群众提交的政府信息公开申请提供便利，为深入推进政务公开工作打下坚实基础。二是安排专人负责新平台迁移后的数据质量，完成各部门各栏目的映射操作 2000 余次，解决新平台各类问题 500 余处，有利确保新平台的顺利上线。三是通过每周定期巡查、督导通报，持续提升我区各部门网上政务公开履职能力，努力建设利企便民、亮点纷呈、人民满意的“网上政府”。 </w:t>
      </w:r>
    </w:p>
    <w:p>
      <w:pPr>
        <w:pStyle w:val="3"/>
        <w:keepNext w:val="0"/>
        <w:keepLines w:val="0"/>
        <w:widowControl/>
        <w:suppressLineNumbers w:val="0"/>
        <w:ind w:left="0" w:firstLine="620"/>
        <w:jc w:val="left"/>
      </w:pPr>
      <w:r>
        <w:rPr>
          <w:rFonts w:hint="eastAsia" w:ascii="黑体" w:hAnsi="宋体" w:eastAsia="黑体" w:cs="黑体"/>
          <w:color w:val="333333"/>
          <w:sz w:val="31"/>
          <w:szCs w:val="31"/>
        </w:rPr>
        <w:t xml:space="preserve">3.加强监管，确保政务公开工作规范有序运行 </w:t>
      </w:r>
    </w:p>
    <w:p>
      <w:pPr>
        <w:pStyle w:val="3"/>
        <w:keepNext w:val="0"/>
        <w:keepLines w:val="0"/>
        <w:widowControl/>
        <w:suppressLineNumbers w:val="0"/>
        <w:autoSpaceDE w:val="0"/>
        <w:autoSpaceDN/>
        <w:spacing w:line="560" w:lineRule="atLeast"/>
        <w:ind w:left="0" w:firstLine="640"/>
        <w:jc w:val="left"/>
      </w:pPr>
      <w:r>
        <w:rPr>
          <w:rFonts w:hint="eastAsia" w:ascii="仿宋_GB2312" w:eastAsia="仿宋_GB2312" w:cs="仿宋_GB2312"/>
          <w:caps w:val="0"/>
          <w:color w:val="333333"/>
          <w:spacing w:val="0"/>
          <w:sz w:val="32"/>
          <w:szCs w:val="32"/>
        </w:rPr>
        <w:t xml:space="preserve">采取“技防+人防”的方式，对21个相关部门及4个园办、中心在政府门户网站政务公开板块信息发布情况开展常态化检查，将部门存在的信息公开内容不完整、不全面，更新不及时，信息归类不准确，信息排版混乱等问题进行了督促整改。将检测结果及时反馈至相关部门，并将整改情况纳入部门月度绩效考核，与绩效奖金直接挂钩，有利确保政务公开相关工作落实到位。 </w:t>
      </w:r>
    </w:p>
    <w:p>
      <w:pPr>
        <w:pStyle w:val="3"/>
        <w:keepNext w:val="0"/>
        <w:keepLines w:val="0"/>
        <w:widowControl/>
        <w:suppressLineNumbers w:val="0"/>
        <w:ind w:left="0" w:firstLine="620"/>
        <w:jc w:val="left"/>
      </w:pPr>
      <w:r>
        <w:rPr>
          <w:rFonts w:hint="eastAsia" w:ascii="黑体" w:hAnsi="宋体" w:eastAsia="黑体" w:cs="黑体"/>
          <w:color w:val="333333"/>
          <w:sz w:val="31"/>
          <w:szCs w:val="31"/>
        </w:rPr>
        <w:t xml:space="preserve">4.创新政策解读形式，积极回应社会关切 </w:t>
      </w:r>
    </w:p>
    <w:p>
      <w:pPr>
        <w:pStyle w:val="3"/>
        <w:keepNext w:val="0"/>
        <w:keepLines w:val="0"/>
        <w:widowControl/>
        <w:suppressLineNumbers w:val="0"/>
        <w:autoSpaceDE w:val="0"/>
        <w:autoSpaceDN/>
        <w:spacing w:line="560" w:lineRule="atLeast"/>
        <w:ind w:left="0" w:firstLine="640"/>
        <w:jc w:val="left"/>
      </w:pPr>
      <w:r>
        <w:rPr>
          <w:rFonts w:hint="eastAsia" w:ascii="仿宋_GB2312" w:eastAsia="仿宋_GB2312" w:cs="仿宋_GB2312"/>
          <w:caps w:val="0"/>
          <w:color w:val="333333"/>
          <w:spacing w:val="0"/>
          <w:sz w:val="32"/>
          <w:szCs w:val="32"/>
        </w:rPr>
        <w:t xml:space="preserve">高新区各部门出台涉及经济发展和社会民生等社会关注的重要政策、重大决定、重大活动时，积极通过高新区政府网站发布相关政策解读和舆论引导，科学准确、通俗易懂地进行解读和引导，同时新增领导解读、动漫解读、图文解读、简明问答等解读形式，丰富了政策解读的多样性。同时，要求相关部门在政务新媒体做好信息发布，加强政府信息发布力度，积极回应社会关切。对于群众依申请公开内容，我区各政务公开部门积极主动回应，依法依规回应群众依申请公开内容，提高群众公开满意度、幸福度。2021年发布相关经济发展、社会民生等政策解读事项21项。 </w:t>
      </w:r>
    </w:p>
    <w:p>
      <w:pPr>
        <w:pStyle w:val="3"/>
        <w:keepNext w:val="0"/>
        <w:keepLines w:val="0"/>
        <w:widowControl/>
        <w:suppressLineNumbers w:val="0"/>
        <w:ind w:left="0" w:firstLine="620"/>
        <w:jc w:val="left"/>
      </w:pPr>
      <w:r>
        <w:rPr>
          <w:rFonts w:hint="eastAsia" w:ascii="微软雅黑" w:hAnsi="微软雅黑" w:eastAsia="微软雅黑" w:cs="微软雅黑"/>
          <w:color w:val="000000"/>
          <w:sz w:val="31"/>
          <w:szCs w:val="31"/>
        </w:rPr>
        <w:t xml:space="preserve">（二）本年度收取信息处理费情况 </w:t>
      </w:r>
    </w:p>
    <w:p>
      <w:pPr>
        <w:pStyle w:val="3"/>
        <w:keepNext w:val="0"/>
        <w:keepLines w:val="0"/>
        <w:widowControl/>
        <w:suppressLineNumbers w:val="0"/>
        <w:autoSpaceDE w:val="0"/>
        <w:autoSpaceDN/>
        <w:spacing w:line="560" w:lineRule="atLeast"/>
        <w:ind w:left="0" w:firstLine="640"/>
        <w:jc w:val="left"/>
      </w:pPr>
      <w:r>
        <w:rPr>
          <w:rFonts w:hint="eastAsia" w:ascii="仿宋_GB2312" w:eastAsia="仿宋_GB2312" w:cs="仿宋_GB2312"/>
          <w:caps w:val="0"/>
          <w:color w:val="333333"/>
          <w:spacing w:val="0"/>
          <w:sz w:val="32"/>
          <w:szCs w:val="32"/>
        </w:rPr>
        <w:t xml:space="preserve">2021 年本单位未发生政府信息公开收费的情况。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 w:hAnsi="仿宋" w:eastAsia="仿宋" w:cs="仿宋"/>
          <w:caps w:val="0"/>
          <w:color w:val="000000"/>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679" w:right="0" w:firstLine="448"/>
      </w:pPr>
      <w:r>
        <w:rPr>
          <w:rFonts w:hint="eastAsia" w:ascii="仿宋" w:hAnsi="仿宋" w:eastAsia="仿宋" w:cs="仿宋"/>
          <w:caps w:val="0"/>
          <w:color w:val="000000"/>
          <w:spacing w:val="0"/>
          <w:sz w:val="32"/>
          <w:szCs w:val="32"/>
          <w:bdr w:val="none" w:color="auto" w:sz="0" w:space="0"/>
        </w:rPr>
        <w:t>淄博高新技术产业开发区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679" w:right="0" w:firstLine="1088"/>
      </w:pPr>
      <w:r>
        <w:rPr>
          <w:rFonts w:hint="eastAsia" w:ascii="仿宋" w:hAnsi="仿宋" w:eastAsia="仿宋" w:cs="仿宋"/>
          <w:caps w:val="0"/>
          <w:color w:val="000000"/>
          <w:spacing w:val="0"/>
          <w:sz w:val="32"/>
          <w:szCs w:val="32"/>
          <w:bdr w:val="none" w:color="auto" w:sz="0" w:space="0"/>
        </w:rPr>
        <w:t>管理委员会办公室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154" w:right="0" w:hanging="1600"/>
      </w:pPr>
      <w:r>
        <w:rPr>
          <w:rFonts w:hint="eastAsia" w:ascii="仿宋" w:hAnsi="仿宋" w:eastAsia="仿宋" w:cs="仿宋"/>
          <w:caps w:val="0"/>
          <w:color w:val="000000"/>
          <w:spacing w:val="0"/>
          <w:sz w:val="32"/>
          <w:szCs w:val="32"/>
          <w:bdr w:val="none" w:color="auto" w:sz="0" w:space="0"/>
        </w:rPr>
        <w:t>                2022年2月17日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 w:hAnsi="仿宋" w:eastAsia="仿宋" w:cs="仿宋"/>
          <w:caps w:val="0"/>
          <w:color w:val="000000"/>
          <w:spacing w:val="0"/>
          <w:sz w:val="32"/>
          <w:szCs w:val="32"/>
          <w:bdr w:val="none" w:color="auto" w:sz="0" w:space="0"/>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96A79"/>
    <w:rsid w:val="75E9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2022-03-03T01:19:00Z</dcterms:created>
  <dc:creator>Administrator</dc:creator>
  <cp:lastModifiedBy>Administrator</cp:lastModifiedBy>
  <dcterms:modified xsi:type="dcterms:W3CDTF">2022-03-03T01:19:58Z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C742B0D19C924A80BC9856C8E6A08A81</vt:lpwstr>
  </property>
</Properties>
</file>