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auto"/>
        <w:jc w:val="both"/>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淄高新管发</w:t>
      </w:r>
      <w:r>
        <w:rPr>
          <w:rFonts w:hint="eastAsia" w:ascii="仿宋_GB2312" w:hAnsi="仿宋_GB2312" w:eastAsia="仿宋_GB2312" w:cs="仿宋_GB2312"/>
          <w:sz w:val="32"/>
          <w:szCs w:val="32"/>
          <w:lang w:val="en-US" w:eastAsia="zh-CN"/>
        </w:rPr>
        <w:t>〔2022〕4号</w:t>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仿宋_GB2312" w:hAnsi="仿宋_GB2312" w:eastAsia="仿宋_GB2312" w:cs="仿宋_GB2312"/>
          <w:b/>
          <w:bCs/>
          <w:sz w:val="32"/>
          <w:szCs w:val="32"/>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b w:val="0"/>
          <w:bCs w:val="0"/>
          <w:color w:val="000000"/>
          <w:spacing w:val="6"/>
          <w:sz w:val="44"/>
          <w:szCs w:val="44"/>
          <w:lang w:eastAsia="zh-CN"/>
        </w:rPr>
      </w:pPr>
      <w:r>
        <w:rPr>
          <w:rFonts w:hint="eastAsia" w:ascii="Times New Roman" w:hAnsi="Times New Roman" w:eastAsia="方正小标宋简体" w:cs="Times New Roman"/>
          <w:b w:val="0"/>
          <w:bCs w:val="0"/>
          <w:color w:val="000000"/>
          <w:spacing w:val="6"/>
          <w:sz w:val="44"/>
          <w:szCs w:val="44"/>
          <w:lang w:eastAsia="zh-CN"/>
        </w:rPr>
        <w:t>淄博高新技术产业开发区管理委员会</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b w:val="0"/>
          <w:bCs w:val="0"/>
          <w:color w:val="000000"/>
          <w:spacing w:val="6"/>
          <w:sz w:val="44"/>
          <w:szCs w:val="44"/>
          <w:lang w:eastAsia="zh-CN"/>
        </w:rPr>
      </w:pPr>
      <w:r>
        <w:rPr>
          <w:rFonts w:hint="eastAsia" w:ascii="Times New Roman" w:hAnsi="Times New Roman" w:eastAsia="方正小标宋简体" w:cs="Times New Roman"/>
          <w:b w:val="0"/>
          <w:bCs w:val="0"/>
          <w:color w:val="000000"/>
          <w:spacing w:val="6"/>
          <w:sz w:val="44"/>
          <w:szCs w:val="44"/>
          <w:lang w:eastAsia="zh-CN"/>
        </w:rPr>
        <w:t>关于印发淄博高新区教育事业发展</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b w:val="0"/>
          <w:bCs w:val="0"/>
          <w:color w:val="000000"/>
          <w:spacing w:val="6"/>
          <w:sz w:val="44"/>
          <w:szCs w:val="44"/>
          <w:lang w:eastAsia="zh-CN"/>
        </w:rPr>
      </w:pPr>
      <w:r>
        <w:rPr>
          <w:rFonts w:hint="eastAsia" w:ascii="Times New Roman" w:hAnsi="Times New Roman" w:eastAsia="方正小标宋简体" w:cs="Times New Roman"/>
          <w:b w:val="0"/>
          <w:bCs w:val="0"/>
          <w:color w:val="000000"/>
          <w:spacing w:val="6"/>
          <w:sz w:val="44"/>
          <w:szCs w:val="44"/>
          <w:lang w:eastAsia="zh-CN"/>
        </w:rPr>
        <w:t>“十四五”规划的通知</w:t>
      </w:r>
    </w:p>
    <w:p>
      <w:pPr>
        <w:keepNext w:val="0"/>
        <w:keepLines w:val="0"/>
        <w:pageBreakBefore w:val="0"/>
        <w:widowControl w:val="0"/>
        <w:kinsoku/>
        <w:wordWrap/>
        <w:overflowPunct/>
        <w:topLinePunct w:val="0"/>
        <w:autoSpaceDE/>
        <w:autoSpaceDN/>
        <w:bidi w:val="0"/>
        <w:adjustRightInd/>
        <w:snapToGrid/>
        <w:spacing w:line="420" w:lineRule="auto"/>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各部、局、中心，四宝山街道、中埠镇，市驻区各部门、单位，各直属企事业单位，各有关单位：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现将《淄博高新区教育事业发展“十四五”规划》印发给你们，请认真组织实施。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淄博高新技术产业开发区管理委员会</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2022年11月21日</w:t>
      </w: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rPr>
          <w:rFonts w:hint="eastAsia"/>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b w:val="0"/>
          <w:bCs w:val="0"/>
          <w:color w:val="000000"/>
          <w:spacing w:val="6"/>
          <w:sz w:val="44"/>
          <w:szCs w:val="44"/>
          <w:lang w:val="en-US" w:eastAsia="zh-CN"/>
        </w:rPr>
      </w:pPr>
      <w:r>
        <w:rPr>
          <w:rFonts w:hint="eastAsia" w:ascii="Times New Roman" w:hAnsi="Times New Roman" w:eastAsia="方正小标宋简体" w:cs="Times New Roman"/>
          <w:b w:val="0"/>
          <w:bCs w:val="0"/>
          <w:color w:val="000000"/>
          <w:spacing w:val="6"/>
          <w:sz w:val="44"/>
          <w:szCs w:val="44"/>
          <w:lang w:val="en-US" w:eastAsia="zh-CN"/>
        </w:rPr>
        <w:t>淄博高新区教育事业发展“十四五”规划</w:t>
      </w:r>
    </w:p>
    <w:p>
      <w:pPr>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“十四五”时期是高新区建设</w:t>
      </w:r>
      <w:r>
        <w:rPr>
          <w:rFonts w:hint="eastAsia" w:ascii="仿宋_GB2312" w:hAnsi="仿宋_GB2312" w:eastAsia="仿宋_GB2312" w:cs="仿宋_GB2312"/>
          <w:sz w:val="32"/>
          <w:szCs w:val="32"/>
          <w:lang w:eastAsia="zh-CN"/>
        </w:rPr>
        <w:t>新时代现代化强区</w:t>
      </w:r>
      <w:r>
        <w:rPr>
          <w:rFonts w:hint="eastAsia" w:ascii="仿宋_GB2312" w:hAnsi="仿宋_GB2312" w:eastAsia="仿宋_GB2312" w:cs="仿宋_GB2312"/>
          <w:sz w:val="32"/>
          <w:szCs w:val="32"/>
          <w:lang w:val="en-US" w:eastAsia="zh-CN"/>
        </w:rPr>
        <w:t>的重要阶段，是高新区教育发展的关键期。本规划根据淄博市人民政府印发的《淄博市教育事业发展“十四五”规划》（淄政发〔2022〕2号）和淄博高新技术产业开发区管理委员会印发的《淄博高新技术产业开发区国民经济和社会发展第十四个五年规划和2035年远景目标纲要》（淄高新管发〔2021〕3号）并结合高新区实际制定，是高新区</w:t>
      </w:r>
      <w:r>
        <w:rPr>
          <w:rFonts w:hint="eastAsia" w:ascii="仿宋_GB2312" w:hAnsi="仿宋_GB2312" w:eastAsia="仿宋_GB2312" w:cs="仿宋_GB2312"/>
          <w:sz w:val="32"/>
          <w:szCs w:val="32"/>
          <w:lang w:eastAsia="zh-CN"/>
        </w:rPr>
        <w:t>“十四五”时期</w:t>
      </w:r>
      <w:r>
        <w:rPr>
          <w:rFonts w:hint="eastAsia" w:ascii="仿宋_GB2312" w:hAnsi="仿宋_GB2312" w:eastAsia="仿宋_GB2312" w:cs="仿宋_GB2312"/>
          <w:sz w:val="32"/>
          <w:szCs w:val="32"/>
          <w:lang w:val="en-US" w:eastAsia="zh-CN"/>
        </w:rPr>
        <w:t>教育事业发展</w:t>
      </w:r>
      <w:r>
        <w:rPr>
          <w:rFonts w:hint="eastAsia" w:ascii="仿宋_GB2312" w:hAnsi="仿宋_GB2312" w:eastAsia="仿宋_GB2312" w:cs="仿宋_GB2312"/>
          <w:sz w:val="32"/>
          <w:szCs w:val="32"/>
          <w:lang w:eastAsia="zh-CN"/>
        </w:rPr>
        <w:t>的行动指南。</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一、总体要求和发展目标</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（一）总体要求</w:t>
      </w:r>
    </w:p>
    <w:p>
      <w:pPr>
        <w:pStyle w:val="5"/>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举中国特色社会主义伟大旗帜，以习近平新时代中国特色社会主义思想为指导，全面深入贯彻党的十九大、二十大、习近平总书记关于教育的重要论述和历次全国教育大会等精神，统筹推进“五位一体”总体布局，协调推进“四个全面”战略布局，增强“四个意识”，坚定“四个自信”，坚持稳中求进总基调，完整、准确、全面贯彻新发展理念，主动服务和融入新发展格局。坚持和加强党的全面领导，坚持以人民为中心的发展思想，全面贯彻党的各项教育方针政策，优先发展教育事业，紧紧围绕提高教育质量、办好人民满意的教育这一目标，落实立德树人根本任务，培养德智体美劳全面发展的社会主义建设者和接班人，加快建设高质量教育体系，发展素质教育，促进教育公平。全面深化教育改革，强化教育保障，加强新时代教师队伍建设，健全教育评价体系，推进教育治理体系和治理能力现代化，切实提升教育水平，不断增强人民群众教育获得感和幸福感，确保到2025年高新区教育治理水平、教育服务体系、教育公平保障、教育发展质量、教育贡献程度明显提高，为经济社会发展提供有力人才保障和智力支撑。</w:t>
      </w:r>
    </w:p>
    <w:p>
      <w:pPr>
        <w:pStyle w:val="5"/>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2.基本原则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党的领导。始终坚持党对教育工作的全面领导，坚持正确的政治方向，全面加强高新区教育系统党的思想建设、组织建设、作风建设、反腐倡廉建设、制度建设，为教育高质量发展提供坚强的政治保证和组织保障，确保中国特色社会主义办学方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人民为中心。坚持发展素质教育，以促进学生德智体美劳全面发展为出发点，遵循教育规律和人才成长规律，全面实施素质教育，促进学生身心健康发展，培养德智体美劳全面发展的社会主义建设者和接班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优先发展。坚持把教育摆在优先发展的战略地位，加大人力资本投入，财政资金优先保证教育发展投入，公共资源优先保障教育发展需要，人员规划编制优先满足教师队伍需求，为人才培养和教育发展创造良好的环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改革创新发展。立足教育发展区情，不断深化基础教育改革。创新教育治理体系，形成上级宏观管理、学校自主办学、社会广泛参与的现代化教育治理格局。注重因材施教，创新教育教学方法，培养学生自主学习、解决问题及创新思维能力。通过改革、创新，激发教育活力，推动教育事业发展，全面提升教育质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统筹协调发展。从高新区发展大局出发，统筹教育与经济社会发展，统筹城乡、区域、校际教育资源配置，统筹各类教育协调发展，统筹推进区域内义务教育一体化和优质均衡发展，增强教育发展的系统性、整体性、协同性。</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（二）发展目标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力争到2025年，高新区高质量高水平普及学前到初中阶段教育，努力打造职教高地，基本建成具有高新区特色的制度更加完备、结构更加优化、保障更加全面、服务更加高效的高质量教育体系，教育整体实力全面增强，优质教育资源更加丰富，教育改革发展成果更公平地惠及人民群众，人才培养水平和教育服务全面振兴全方位振兴能力大幅度提高，打造高新区教育“升级版”，为总体实现教育现代化、优质均衡区县和人力资源强区前列奠定坚实基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教育事业发展“十四五”主要预期目标</w:t>
      </w:r>
    </w:p>
    <w:tbl>
      <w:tblPr>
        <w:tblStyle w:val="10"/>
        <w:tblpPr w:leftFromText="180" w:rightFromText="180" w:vertAnchor="text" w:horzAnchor="page" w:tblpX="1778" w:tblpY="4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4823"/>
        <w:gridCol w:w="138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8" w:type="dxa"/>
            <w:gridSpan w:val="2"/>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指标</w:t>
            </w:r>
          </w:p>
        </w:tc>
        <w:tc>
          <w:tcPr>
            <w:tcW w:w="1389" w:type="dxa"/>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2020年</w:t>
            </w:r>
          </w:p>
        </w:tc>
        <w:tc>
          <w:tcPr>
            <w:tcW w:w="1389" w:type="dxa"/>
          </w:tcPr>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045"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32"/>
                <w:highlight w:val="yellow"/>
                <w:vertAlign w:val="baseline"/>
                <w:lang w:val="en-US" w:eastAsia="zh-CN"/>
              </w:rPr>
            </w:pPr>
            <w:r>
              <w:rPr>
                <w:rFonts w:hint="eastAsia" w:ascii="仿宋_GB2312" w:hAnsi="仿宋_GB2312" w:eastAsia="仿宋_GB2312" w:cs="仿宋_GB2312"/>
                <w:b/>
                <w:bCs/>
                <w:sz w:val="32"/>
                <w:szCs w:val="32"/>
                <w:vertAlign w:val="baseline"/>
                <w:lang w:val="en-US" w:eastAsia="zh-CN"/>
              </w:rPr>
              <w:t>学前教育</w:t>
            </w:r>
          </w:p>
        </w:tc>
        <w:tc>
          <w:tcPr>
            <w:tcW w:w="4823"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幼儿在园人数（万人）</w:t>
            </w:r>
          </w:p>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highlight w:val="yellow"/>
                <w:vertAlign w:val="baseline"/>
                <w:lang w:val="en-US" w:eastAsia="zh-CN"/>
              </w:rPr>
            </w:pPr>
            <w:r>
              <w:rPr>
                <w:rFonts w:hint="eastAsia" w:ascii="仿宋_GB2312" w:hAnsi="仿宋_GB2312" w:eastAsia="仿宋_GB2312" w:cs="仿宋_GB2312"/>
                <w:sz w:val="32"/>
                <w:szCs w:val="32"/>
                <w:vertAlign w:val="baseline"/>
                <w:lang w:val="en-US" w:eastAsia="zh-CN"/>
              </w:rPr>
              <w:t>学前三年毛入园率（%）</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1.05</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045"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义务教育</w:t>
            </w:r>
          </w:p>
        </w:tc>
        <w:tc>
          <w:tcPr>
            <w:tcW w:w="4823"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在校生（万人）</w:t>
            </w:r>
          </w:p>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巩固率（%）</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100</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restart"/>
            <w:vAlign w:val="center"/>
          </w:tcPr>
          <w:p>
            <w:pPr>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教师队伍</w:t>
            </w:r>
          </w:p>
        </w:tc>
        <w:tc>
          <w:tcPr>
            <w:tcW w:w="4823"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幼儿园学前教育专业专任教师比例（%）</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85</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tcPr>
          <w:p>
            <w:pPr>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vertAlign w:val="baseline"/>
              </w:rPr>
            </w:pPr>
          </w:p>
        </w:tc>
        <w:tc>
          <w:tcPr>
            <w:tcW w:w="4823"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义务教育阶段本科及以上学历专任教师比例（%）</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93.95</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Merge w:val="continue"/>
          </w:tcPr>
          <w:p>
            <w:pPr>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vertAlign w:val="baseline"/>
              </w:rPr>
            </w:pPr>
          </w:p>
        </w:tc>
        <w:tc>
          <w:tcPr>
            <w:tcW w:w="4823" w:type="dxa"/>
            <w:vAlign w:val="center"/>
          </w:tcPr>
          <w:p>
            <w:pPr>
              <w:pageBreakBefore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城市与农村义务教育学校专任教师本科以上学历比例（%）</w:t>
            </w:r>
          </w:p>
        </w:tc>
        <w:tc>
          <w:tcPr>
            <w:tcW w:w="1389"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92.9</w:t>
            </w:r>
          </w:p>
        </w:tc>
        <w:tc>
          <w:tcPr>
            <w:tcW w:w="1389" w:type="dxa"/>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i w:val="0"/>
                <w:iCs w:val="0"/>
                <w:color w:val="000000"/>
                <w:kern w:val="0"/>
                <w:sz w:val="32"/>
                <w:szCs w:val="32"/>
                <w:u w:val="none"/>
                <w:lang w:val="en-US" w:eastAsia="zh-CN" w:bidi="ar"/>
              </w:rPr>
              <w:t>100</w:t>
            </w:r>
          </w:p>
        </w:tc>
      </w:tr>
    </w:tbl>
    <w:p>
      <w:pPr>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注:各级各类学校在校生数、教师情况依据发展水平测算</w:t>
      </w:r>
      <w:r>
        <w:rPr>
          <w:rFonts w:hint="eastAsia" w:ascii="仿宋_GB2312" w:hAnsi="仿宋_GB2312" w:eastAsia="仿宋_GB2312" w:cs="仿宋_GB2312"/>
          <w:sz w:val="32"/>
          <w:szCs w:val="32"/>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二、目标任务</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（一）各阶段教育发展任务</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1.学前教育建设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普及普惠安全优质的学前教育。坚持公益普惠的基本办园方向，启动学前教育普及普惠区建设，加大公办园建设力度，城镇居住区配套幼儿园优先举办为公办园。动态调整公办园和普惠性民办园收费标准，加强成本调查和收费监管。健全普惠性民办幼儿园投入和成本分担机制，严格落实生均财政经费补助政策，通过购买服务、综合奖补、减免租金等方式，引导和支持民办幼儿园提供普惠优质服务。坚持以游戏为基本活动，持续开展“小学化”倾向专项治理，规范办园行为，提升保教质量。建立科学的幼小衔接机制，推动幼儿园和小学双向协同、有效衔接。建立完善教研指导责任区制度，强化区域教研和园本教研。强化日常监管，每5所幼儿园配备1名责任督学。各类幼儿园依法依规配足配齐幼儿园教职工，专科及以上学历幼儿教师占比达到85%以上，新进幼儿教师全面实现持证上岗。力争到2025年新改扩建幼儿园7所，省级一类及以上优质园占比超过60%，高新区公办幼儿园在园幼儿占比超过65%，普惠性幼儿园覆盖率超过90%，高新区学前三年幼儿教育毛入园率达到100%。</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2.义务教育建设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发展短板，落实整改措施，实施“一流学校建设计划”，培育、扩大普通小学、初中优质教育资源。巩固义务教育成果，均衡配置教育资源，优化教育信息技术，持续改善办学条件，全面推进办学条件标准化，推进义务教育阶段学生作业负担和校外培训负担实现双减，课堂教学质量、课后服务及作业质量实现双提高，体育、美育和劳动教育课程不断加强和改进，区域内义务教育实现优质均衡发展。充分重视初中学段承上启下的重要性，努力促进城乡初中优质均衡发展，发挥优质学校示范辐射作用，实行强校带弱校、城乡对口帮扶等办学机制，逐渐形成协作式教育集团，推动高新区第九小学、高新区第二中学建设项目，启动科学城实验学校、第三中学、民祥路学校等学校建设，扩增义务教育学位6千余个，全面提升义务教育办学水平。力争到2025年，小学适龄儿童入学率达100%，初中适龄少年入学率达100%，九年义务教育巩固率达到100%。</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3.其他教育建设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力做强职业教育品牌。深化产教融合、工学结合、校企合作，积极推进职业教育专业设置与产业、企业、岗位相对接，加快建设中德智能制造产教融合示范基地市属中职学校（市智能仿真公共实习实训基地），提升职业教育发展能力。全面推动特殊教育协调发展，加强普特结合，推进以普通学校随班就读为主体、以送教上门为补充的教育安置方式，力争让每一个残疾少年儿童都能接受合适的教育。依法支持和规范社会力量举办民办学校，形成民办教育综合治理管理网络，引导鼓励民办学校特色化办学，提高民办教育质量和办学水平。</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（二）加强教师队伍建设</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1.加强师德师风建设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中小学师德师风建设长效机制，把师德师风作为评价教师队伍素质的第一标准，在教师资格准入、招聘考核、职称评聘、推优评先等一切环节，严格实行师德“一票否决”。推行师德考核负面清单制度，健全师德表扬奖励制度和教师违反师德行为的惩处机制。建立健全教师关爱机制，动员学校、社会关心支持教师，让尊师重教蔚然成风。开展多种形式的师德教育，把教师职业理想、职业道德、法治、心理健康等教育融入培养、培训和管理的全过程，引导广大教师以德立身、以德立学、以德施教，努力建设一支有理想信念、有道德情操、有扎实学识、有仁爱之心的教师队伍。</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2.提升教师能力和素质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逐年提高教师培训经费投入，改进教师培养机制、模式、课程，采取集中培训、远程培训、校本培训和分散研修相结合的方式，以“国培”“省培”“市培”“区培”“校本”五级培训为抓手，加强中小学教师培训，探索建立教师教育质量监测评估制度。加强教研队伍建设，发挥教学名师和优秀教师的示范引领作用，鼓励青年教师参与教学团队、创新团队。启动中小学教师信息技术应用能力提升工程，构建以校为本、基于课堂、应用驱动、注重创新的教师信息素养发展新机制。完善校长培训体系，全面开展依法治教和教育信息化领导力培训，提升校长和教育行政管理人员现代教育治理的意识和能力素养。持续实施名校、名师带动战略，大力实施 “三名”工程建设，推动名校长、名师招募和链接，鼓励教学名师交流讲学，鼓励教师在实践中大胆探索，创新教育模式和教育方法，形成教学特色，造就一批本土教育家。力争到2025年，培养省市级名师、名校长5人，区级学科带头人、骨干教师20人。</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3.完善教师补充渠道</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淄博人才金政50条政策，通过公开招聘、校园招聘、省属公费师范生定向培养、引进区外在编在职教师等多渠道，加大中小学教师补充力度，打造乐教适教善教的高新区教师队伍，培养更加优秀的人才。完善人才引进配套政策，健全中小学教师工资正常增长机制和义务教育教师工资与公务员工资长效联动机制，确保义务教育教师平均工资收入水平不低于或高于当地公务员平均工资收入水平。</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4.优化教师资源配置</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人才支持计划，大力开展区际和乡村教师交流，完善城镇教师到乡村支教交流制度，探索建立新聘任教师农村学校任教服务期制度，将在乡村学校或薄弱学校任教经历作为城镇中小学教师职称晋升的条件之一。建立相关乡村教师荣誉制度，落实乡村教师按规定享受乡镇工作补贴和生活补助政策，提升乡村教师的地位和待遇。</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（三）落实立德树人根本任务</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1.保障义务教育一体化的思想政治教育工作</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养什么人，是教育的首要问题。坚持把立德树人成效作为检验学校一切工作的根本标准，融入思想道德教育、文化知识教育、社会实践教育各环节，贯穿基础教育和高中教育各领域。坚持不懈用习近平新时代中国特色社会主义思想铸魂育人。推进习近平新时代中国特色社会主义思想进教材、进课堂、进头脑，加强党史、新中国史、改革开放史、社会主义发展史等教育，加强爱党、爱国、爱社会主义教育，教育学生志存高远、修好品德、学会感恩，自觉听党话、跟党走，坚定“四个自信”，努力成为一个有大爱大德大情怀的人。</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2.切实推进“双减政策”的实行</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贯彻落实党中央、国务院关于减轻义务教育阶段学生作业负担和校外培训负担（即“双减”）工作的决策部署，强化学校育人主阵地作用，让校外教育培训回归育人正常轨道，切实减轻义务教育阶段学生作业负担和校外培训负担，促进学生全面发展、健康成长。加强作业统筹监管，全面压减作业总量和时长；保障义务教育阶段课后服务质量，满足学生多样化需求；严格校外培训机构审批和监管，全面规范校外培训行为。排查“双减”工作中存在的各类风险隐患，加强风险防控，确保“双减”工作平稳有序。</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3.加强新时代中小学生体育、美育、劳动教育</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加大力度配齐配好中小学体育、美育和劳动教育教师及相关设备，切实开展高质量的体育、美育和劳动教育课程，建设一批艺术、体育、科技等特色学校。遵循教育规律、创新教育方法，坚持以智增智、以体强体、以美化美、以劳育劳，更加注重学生综合素质的培养，开齐开足体育课程，加强和改进学校美育工作，开展多种形式的劳动教育和劳动实践，加快形成全员育人，全过程育人、全方位育人的格局。调动教育行政部门、学校、家庭和社会各界力量，贯通校内外多种教育形式，把图书馆、科技馆、纪念馆、少年宫、运动场等建设成为开放多元、充满活力的教育平台，为培育时代新人提供更大空间、凝聚强大合力。</w:t>
      </w:r>
    </w:p>
    <w:p>
      <w:pPr>
        <w:pStyle w:val="5"/>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4.扎实推进学校、家庭、社会协同育人</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认识家校社协同育人对构建新的教育生态、加快教育高质量发展的重要意义，着力构建价值统一、导向一致、协商合作、互动共进的家校社伙伴式新型关系。充分发挥家庭第一课堂、家长第一任教师的重要作用，引导帮助家长注重言传身教、提升家庭教育素养。实施家校共育行动计划，完善协同育人工作机制，家校协同加强中小学生作业、睡眠、手机、读物、体质等管理，促进学生健康成长。提升教师家庭教育指导力，定期组织教师参加家庭教育指导培训。实现校园开放日活动定期常态化开展，落实教师家访制度，及时交流学生情况、宣传教育政策、联合制定育人策略。督促学校办好家长学校，为家长提供公益性家庭教育指导服务。完善家长委员会制度，在反映家长诉求、补充教育资源、参与学校管理、监督学校运行等方面发挥更大作用，提高家庭教育指导服务专业化规范化水平。进一步推动公共图书馆、美术馆、文化馆等免费向学生开放，健全学校教育资源向社会开放的运行机制，鼓励有条件的企事业单位、社会组织开放优质育人资源，同时充分发挥媒体的正面引导作用，营造良好教育生态。</w:t>
      </w:r>
    </w:p>
    <w:p>
      <w:pPr>
        <w:pStyle w:val="5"/>
        <w:pageBreakBefore w:val="0"/>
        <w:numPr>
          <w:ilvl w:val="0"/>
          <w:numId w:val="0"/>
        </w:numPr>
        <w:kinsoku/>
        <w:wordWrap/>
        <w:overflowPunct/>
        <w:topLinePunct w:val="0"/>
        <w:autoSpaceDE/>
        <w:autoSpaceDN/>
        <w:bidi w:val="0"/>
        <w:adjustRightInd/>
        <w:snapToGrid/>
        <w:spacing w:beforeLines="0" w:afterLines="0"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5.全面提高教育质量</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中小学教育质量提升计划。提高中小学教师教学、教研和信息化水平，充分利用信息化手段实现优质教育资源的城乡共享，缩小城乡教育资源差距。加快与国内先进地区教育接轨。深入实施“内培外引”，面向国内北京、上海等教育资源集聚地区，实施国内品牌教育资源引驻计划，推动教育集团化发展，以国内品牌教育资源为突破口，着力提升淄博高新区学前教育及义务教育的水平和层次。推动高新区教育国际化发展，探索引入国际教育资源，逐步建设布局一批国际学校。鼓励高新区内学校加强与国外教育机构联动，开办国际部、国际课程班，组织教师培训、学生研学旅行，促进教师、学生积极参与国际交流合作。建立健全学校、教师、学生、教学、教研、管理和后勤服务等规章制度，强化学校管理，加大制度执行力，建立教学监管工作长效机制，强化义务教育学段教学质量的监管，促进管理制度化、规范化、科学化。深化教育人事制度、教师评聘制度和中小学教研联合体、教育共同体等综合改革，激发教育活力，全面提高教育教学质量。</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（四）加强教育系统党的建设</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党的全面领导，是办好教育的根本保证。在区教育工作领导小组的领导下，加强学校党的建设，充分发挥学校党组织领导作用，强化党建带团建、队建。强化教育党支部建设，健全优秀党员、骨干教师相融合的“双培养”机制，加大对新入职教师、海外留学归国教师的国情国史教育力度。落实全面从严治党主体责任，理顺领导管理体制，明晰政治责任，切实把全面从严治党责任向基层延伸。推动各级党组织建立完善党建工作责任制，明确党组织主体责任和党组织书记第一责任以及分管责任人的直接责任，强化班子成员“党政同责、一岗双责”。强化问责追责，对党的领导弱化、党的建设缺失、从严治党责任落实不到位的严肃问责，切实把主体责任扛稳、抓牢、做实。坚持党建工作与教育工作同谋划、同部署、同检查、同考核，健全完善党组织书记党建工作述职评议考核制度，强化考核结果运用，逐层传导压力，逐级落实责任。</w:t>
      </w:r>
    </w:p>
    <w:p>
      <w:pPr>
        <w:pStyle w:val="3"/>
        <w:keepNext/>
        <w:keepLines/>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加强统筹协调，强化落实机制，发挥法治对教育治理的重要依托作用，建立教育投入持续稳定增长的长效机制，营造全社会关心支持教育现代化建设的良好氛围。</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（一）加强教育工作领导</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落实管委会推进教育改革和发展的责任，协调政府各部门齐心协力支持教育发展，动员和争取社会各方面关心支持教育事业，营造教育发展的良好氛围。切实加强学校领导班子建设，建立健全适应教育管理特点的干部选拔任用和管理制度。加强学校基层党组织建设和党员队伍建设，健全党风廉政建设责任制，促进校园民主，推进校务公开。</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（二）全力维</w:t>
      </w:r>
      <w:bookmarkStart w:id="0" w:name="_GoBack"/>
      <w:bookmarkEnd w:id="0"/>
      <w:r>
        <w:rPr>
          <w:rFonts w:hint="eastAsia" w:ascii="楷体_GB2312" w:hAnsi="楷体_GB2312" w:eastAsia="楷体_GB2312" w:cs="楷体_GB2312"/>
          <w:kern w:val="2"/>
          <w:sz w:val="32"/>
          <w:szCs w:val="32"/>
          <w:lang w:val="en-US" w:eastAsia="zh-CN" w:bidi="ar-SA"/>
        </w:rPr>
        <w:t>护学校安全稳定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学校与相关部门的合作，及时化解教育改革和发展过程中的各种矛盾，扎实开展校园及周边、校车安全专项整治活动，消除安全隐患。加强学校、家庭、社会和司法联动保护，有效预防未成年学生犯罪。健全完善学校安全风险防控体系和校园安全责任体系，层层压实安全责任。加强安全教育和管理，增强师生安全意识，强化各种防范演练，保障高新区学校正常教育秩序和全体师生的安全，努力营造平安健康的校园环境。</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（三）优化教育法治环境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开展普法教育，进一步增强师生法治观念，提高依法行政和依法治教的能力和自觉性。加强教育行政执法与执法监督，及时查处各类教育违规违法办学行为。深入推进依法治校，依法保障教师学生的合法权益。</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（四）继续加大教育经费投入</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区财政投入为主、多渠道筹措经费的教育投入体制，进一步完善教育公共财政体制改革，积极拓宽经费来源渠道，鼓励企业、社会力量以及各界人士捐资助学。发挥各级教育基金会作用，吸引社会捐赠。坚持教育优先发展，把教育作为财政支出重点领域予以优先保障，调整优化财政支出结构，优先落实教育投入。完善学生资助体系，保证贫困学生顺利入学。进一步规范经费管理，全面推进财政性教育经费科学化、精细化管理，提高财政性教育经费使用效益。规范学校财务管理，加强项目资金管理。建立健全教育系统内部审计制度，完善监督机制，预防和查处各种违规违法行为，确保经费安全。</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（五）全面升级教育信息化</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中小学校加快教学、科研的数字化管理，开发和推广应用在线课堂教学、智慧校园、标准化考试系统等。整合高新区名校教育资源，打造高新区“线上教育”品牌，推动区域优质教学资源在线共享，为教育事业的发展提供保障。</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（六）进一步完善教育督导制度</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贯彻落实中共淄博市委办公室、淄博市人民政府办公室印发的《淄博市深化新时代教育督导体制机制改革的实施意见》，全面落实督导评估、检查验收、质量监测法定职责，加快构建“督政、督学、评估监测”三位一体高质量教育督导体系；以迎接上级政府履职评价为契机，促进各有关部门依法履行教育职责，落实教育优先发展要求。加强教育督导队伍建设，努力建立一支观念现代、素质全面、专业精良、品行高尚的专兼职督导队伍，提升智慧督导工作质效，扎实开展教育高品质发展动态监测，积极推进督导责任区管理“一网通办”。规范开展对学校的经常性督导，引导学校办出特色、办出水平，强化教育</w:t>
      </w:r>
      <w:r>
        <w:rPr>
          <w:rFonts w:hint="eastAsia" w:ascii="仿宋_GB2312" w:hAnsi="仿宋_GB2312" w:eastAsia="仿宋_GB2312" w:cs="仿宋_GB2312"/>
          <w:sz w:val="32"/>
          <w:szCs w:val="32"/>
          <w:lang w:val="en-US" w:eastAsia="zh-CN"/>
        </w:rPr>
        <w:t>督导结果运用，完善反馈报告、整改复查、奖励通报、追责问责等相关制度，落实国务院教育督导委员会印发的《教育督导问责办法》，完善运行机制，构建高质量教育督导体系，扎实推动高新区教育事业高质量发展。</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（七）协同推进高新区教育健康发展</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高新区教育发展“十四五”规划，对于高新区教育的迅速发展乃至经济社会的发展都有重大意义。高新区要结合贯彻落实国家、省、市的教育规划纲要，精心组织制订教育发展“十四五”规划实施方案和配套政策，着力实施一批教育发展重大工程项目和计划。各有关部门要明确目标任务，落实责任分工，加强督促检查，共同推动高新区教育事业建设，加快教育现代化进程，实现教育事业科学发展。</w:t>
      </w:r>
    </w:p>
    <w:sectPr>
      <w:footerReference r:id="rId5" w:type="default"/>
      <w:pgSz w:w="11906" w:h="16838"/>
      <w:pgMar w:top="2154" w:right="1474" w:bottom="1928"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MzQ1OGQzZGY3ZWMzNTBlNzczOGFlYWQ1NzM0OGYifQ=="/>
  </w:docVars>
  <w:rsids>
    <w:rsidRoot w:val="428B63B6"/>
    <w:rsid w:val="006D628B"/>
    <w:rsid w:val="00E77899"/>
    <w:rsid w:val="03091250"/>
    <w:rsid w:val="03D246AD"/>
    <w:rsid w:val="064267D2"/>
    <w:rsid w:val="06840B3B"/>
    <w:rsid w:val="073A0B5A"/>
    <w:rsid w:val="07CA6A21"/>
    <w:rsid w:val="0A805ABD"/>
    <w:rsid w:val="0AE222D4"/>
    <w:rsid w:val="0B1F0525"/>
    <w:rsid w:val="0BE67BA2"/>
    <w:rsid w:val="0CEA0E58"/>
    <w:rsid w:val="0D7445DF"/>
    <w:rsid w:val="0DDE3227"/>
    <w:rsid w:val="0E0A401C"/>
    <w:rsid w:val="0E3433E7"/>
    <w:rsid w:val="0EC6636F"/>
    <w:rsid w:val="0F4F150A"/>
    <w:rsid w:val="0F501F02"/>
    <w:rsid w:val="10A120BA"/>
    <w:rsid w:val="143C2A55"/>
    <w:rsid w:val="18486700"/>
    <w:rsid w:val="18B10FB7"/>
    <w:rsid w:val="1AA71B80"/>
    <w:rsid w:val="1AD35470"/>
    <w:rsid w:val="1C390622"/>
    <w:rsid w:val="1EDD7BF3"/>
    <w:rsid w:val="242F6132"/>
    <w:rsid w:val="25D72D0D"/>
    <w:rsid w:val="26BA41DC"/>
    <w:rsid w:val="271138CD"/>
    <w:rsid w:val="28F65471"/>
    <w:rsid w:val="2C7843EE"/>
    <w:rsid w:val="2C7F752B"/>
    <w:rsid w:val="2D311E74"/>
    <w:rsid w:val="2DA44895"/>
    <w:rsid w:val="2F971437"/>
    <w:rsid w:val="32513718"/>
    <w:rsid w:val="34F3552D"/>
    <w:rsid w:val="37DB230C"/>
    <w:rsid w:val="385F7BAD"/>
    <w:rsid w:val="38792D0F"/>
    <w:rsid w:val="388C54AA"/>
    <w:rsid w:val="3A922B1F"/>
    <w:rsid w:val="3EC0102C"/>
    <w:rsid w:val="3EC645A1"/>
    <w:rsid w:val="417E65FD"/>
    <w:rsid w:val="428B63B6"/>
    <w:rsid w:val="433A4627"/>
    <w:rsid w:val="440A1978"/>
    <w:rsid w:val="451F76A5"/>
    <w:rsid w:val="45350C77"/>
    <w:rsid w:val="468E588C"/>
    <w:rsid w:val="47A25715"/>
    <w:rsid w:val="47CD163B"/>
    <w:rsid w:val="4A165592"/>
    <w:rsid w:val="4A6242BC"/>
    <w:rsid w:val="4C820028"/>
    <w:rsid w:val="4CC0176E"/>
    <w:rsid w:val="4E21789C"/>
    <w:rsid w:val="4F223E3D"/>
    <w:rsid w:val="4F623737"/>
    <w:rsid w:val="50ED7004"/>
    <w:rsid w:val="53161AB8"/>
    <w:rsid w:val="55EF5644"/>
    <w:rsid w:val="57D309D6"/>
    <w:rsid w:val="59462FFB"/>
    <w:rsid w:val="5B5B54E2"/>
    <w:rsid w:val="5C65320E"/>
    <w:rsid w:val="5C6E6AF1"/>
    <w:rsid w:val="5CB14C2F"/>
    <w:rsid w:val="5D0F653A"/>
    <w:rsid w:val="5D990D03"/>
    <w:rsid w:val="5ED10402"/>
    <w:rsid w:val="5ED11093"/>
    <w:rsid w:val="5EDC6046"/>
    <w:rsid w:val="605C5B8C"/>
    <w:rsid w:val="608B797D"/>
    <w:rsid w:val="60DC7721"/>
    <w:rsid w:val="63024510"/>
    <w:rsid w:val="64AD0BED"/>
    <w:rsid w:val="657A6506"/>
    <w:rsid w:val="66681210"/>
    <w:rsid w:val="66742F55"/>
    <w:rsid w:val="66DA0DCC"/>
    <w:rsid w:val="69B228FA"/>
    <w:rsid w:val="69FA3B89"/>
    <w:rsid w:val="6DB95BB8"/>
    <w:rsid w:val="6FF9223F"/>
    <w:rsid w:val="74E44527"/>
    <w:rsid w:val="771A4CBB"/>
    <w:rsid w:val="77F01631"/>
    <w:rsid w:val="78126346"/>
    <w:rsid w:val="79BB0486"/>
    <w:rsid w:val="7AB3043C"/>
    <w:rsid w:val="7B130B37"/>
    <w:rsid w:val="7BFE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02" w:firstLineChars="200"/>
      <w:jc w:val="both"/>
    </w:pPr>
    <w:rPr>
      <w:rFonts w:ascii="Times New Roman" w:hAnsi="Times New Roman" w:eastAsia="仿宋" w:cstheme="minorBidi"/>
      <w:kern w:val="2"/>
      <w:sz w:val="36"/>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883" w:firstLineChars="200"/>
      <w:jc w:val="left"/>
      <w:outlineLvl w:val="0"/>
    </w:pPr>
    <w:rPr>
      <w:rFonts w:eastAsia="黑体"/>
      <w:b/>
      <w:kern w:val="44"/>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楷体_GB2312"/>
    </w:rPr>
  </w:style>
  <w:style w:type="paragraph" w:styleId="5">
    <w:name w:val="heading 3"/>
    <w:basedOn w:val="1"/>
    <w:next w:val="1"/>
    <w:unhideWhenUsed/>
    <w:qFormat/>
    <w:uiPriority w:val="0"/>
    <w:pPr>
      <w:keepNext/>
      <w:keepLines/>
      <w:spacing w:beforeLines="0" w:beforeAutospacing="0" w:afterLines="0" w:afterAutospacing="0" w:line="560" w:lineRule="exact"/>
      <w:outlineLvl w:val="2"/>
    </w:pPr>
  </w:style>
  <w:style w:type="paragraph" w:styleId="6">
    <w:name w:val="heading 4"/>
    <w:basedOn w:val="1"/>
    <w:next w:val="1"/>
    <w:unhideWhenUsed/>
    <w:qFormat/>
    <w:uiPriority w:val="0"/>
    <w:pPr>
      <w:keepNext/>
      <w:keepLines/>
      <w:spacing w:beforeLines="0" w:beforeAutospacing="0" w:afterLines="0" w:afterAutospacing="0" w:line="372" w:lineRule="auto"/>
      <w:ind w:firstLine="0" w:firstLineChars="0"/>
      <w:outlineLvl w:val="3"/>
    </w:pPr>
    <w:rPr>
      <w:rFonts w:ascii="Arial" w:hAnsi="Arial" w:eastAsia="方正小标宋简体"/>
      <w:b/>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99"/>
    <w:pPr>
      <w:ind w:firstLine="560"/>
    </w:pPr>
    <w:rPr>
      <w:rFonts w:eastAsia="仿宋_GB2312" w:cs="宋体"/>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7473</Words>
  <Characters>7577</Characters>
  <Lines>0</Lines>
  <Paragraphs>0</Paragraphs>
  <TotalTime>6</TotalTime>
  <ScaleCrop>false</ScaleCrop>
  <LinksUpToDate>false</LinksUpToDate>
  <CharactersWithSpaces>7578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2022-08-31T23:31:00Z</dcterms:created>
  <dc:creator>10932</dc:creator>
  <cp:lastModifiedBy>开开欣欣</cp:lastModifiedBy>
  <cp:lastPrinted>2022-10-26T02:14:00Z</cp:lastPrinted>
  <dcterms:modified xsi:type="dcterms:W3CDTF">2022-11-23T07:32:04Z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51C7876A80BC4DBB97CEFD6A2D2716DA</vt:lpwstr>
  </property>
</Properties>
</file>