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Style w:val="a6"/>
          <w:rFonts w:ascii="方正小标宋_GBK" w:eastAsia="方正小标宋_GBK" w:hAnsi="方正小标宋_GBK" w:cs="方正小标宋_GBK" w:hint="eastAsia"/>
          <w:b w:val="0"/>
          <w:color w:val="000000"/>
          <w:sz w:val="44"/>
          <w:szCs w:val="44"/>
          <w:shd w:val="clear" w:color="auto" w:fill="FFFFFF"/>
        </w:rPr>
        <w:t>淄博高新技术产业开发区管理委员会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Style w:val="a6"/>
          <w:rFonts w:ascii="方正小标宋_GBK" w:eastAsia="方正小标宋_GBK" w:hAnsi="方正小标宋_GBK" w:cs="方正小标宋_GBK" w:hint="eastAsia"/>
          <w:b w:val="0"/>
          <w:color w:val="000000"/>
          <w:sz w:val="44"/>
          <w:szCs w:val="44"/>
          <w:shd w:val="clear" w:color="auto" w:fill="FFFFFF"/>
        </w:rPr>
        <w:t>2023</w:t>
      </w:r>
      <w:r>
        <w:rPr>
          <w:rStyle w:val="a6"/>
          <w:rFonts w:ascii="方正小标宋_GBK" w:eastAsia="方正小标宋_GBK" w:hAnsi="方正小标宋_GBK" w:cs="方正小标宋_GBK" w:hint="eastAsia"/>
          <w:b w:val="0"/>
          <w:color w:val="000000"/>
          <w:sz w:val="44"/>
          <w:szCs w:val="44"/>
          <w:shd w:val="clear" w:color="auto" w:fill="FFFFFF"/>
        </w:rPr>
        <w:t>年政府信息公开工作年度报告</w:t>
      </w:r>
    </w:p>
    <w:p w:rsidR="006C6D94" w:rsidRDefault="003C2760">
      <w:pPr>
        <w:pStyle w:val="a5"/>
        <w:widowControl/>
        <w:shd w:val="clear" w:color="auto" w:fill="FFFFFF"/>
        <w:wordWrap w:val="0"/>
        <w:spacing w:beforeAutospacing="0" w:afterAutospacing="0" w:line="560" w:lineRule="exact"/>
        <w:rPr>
          <w:rFonts w:ascii="微软雅黑" w:eastAsia="微软雅黑" w:hAnsi="微软雅黑" w:cs="微软雅黑"/>
          <w:color w:val="000000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 </w:t>
      </w:r>
    </w:p>
    <w:p w:rsidR="006C6D94" w:rsidRDefault="003C2760">
      <w:pPr>
        <w:pStyle w:val="a5"/>
        <w:widowControl/>
        <w:shd w:val="clear" w:color="auto" w:fill="FFFFFF"/>
        <w:wordWrap w:val="0"/>
        <w:spacing w:beforeAutospacing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本报告中所列数据的统计期限自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日起，至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日止。本报告可在淄博高新区门户网站（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http://www.china-zibo.gov.cn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）下载。如对本报告有任何疑问，请与淄博高新区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管委会办公室联系（地址：淄博市张店区柳泉路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室；邮编：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255035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；联系电话：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358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6440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；邮箱：</w:t>
      </w:r>
      <w:hyperlink r:id="rId4" w:tgtFrame="http://www.china-zibo.gov.cn/gongkai/channel_607405e44b797e1df91c16f4/_blank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zbgxqbgsjgfwzx@zb.shandong.cn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）。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leftChars="200" w:left="420"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黑体" w:eastAsia="黑体" w:hAnsi="黑体" w:cs="黑体" w:hint="eastAsia"/>
          <w:b w:val="0"/>
          <w:color w:val="000000"/>
          <w:sz w:val="32"/>
          <w:szCs w:val="32"/>
          <w:shd w:val="clear" w:color="auto" w:fill="FFFFFF"/>
        </w:rPr>
        <w:t>一、</w:t>
      </w:r>
      <w:r>
        <w:rPr>
          <w:rStyle w:val="a6"/>
          <w:rFonts w:ascii="黑体" w:eastAsia="黑体" w:hAnsi="黑体" w:cs="黑体" w:hint="eastAsia"/>
          <w:b w:val="0"/>
          <w:color w:val="000000"/>
          <w:sz w:val="32"/>
          <w:szCs w:val="32"/>
          <w:shd w:val="clear" w:color="auto" w:fill="FFFFFF"/>
        </w:rPr>
        <w:t>总体情况</w:t>
      </w:r>
      <w:r>
        <w:rPr>
          <w:rStyle w:val="a6"/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  </w:t>
      </w:r>
    </w:p>
    <w:p w:rsidR="007A4AF8" w:rsidRDefault="003C2760" w:rsidP="007A4AF8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年，</w:t>
      </w:r>
      <w:r w:rsidR="007A4AF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淄博高新区</w:t>
      </w:r>
      <w:r w:rsidR="007A4AF8" w:rsidRPr="007A4AF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坚持以习近平新时代中国特色社会主义思想为指导，深入贯彻落</w:t>
      </w:r>
      <w:proofErr w:type="gramStart"/>
      <w:r w:rsidR="007A4AF8" w:rsidRPr="007A4AF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实习近</w:t>
      </w:r>
      <w:proofErr w:type="gramEnd"/>
      <w:r w:rsidR="007A4AF8" w:rsidRPr="007A4AF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平总书记对</w:t>
      </w:r>
      <w:r w:rsidR="007A4AF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山东工作</w:t>
      </w:r>
      <w:r w:rsidR="007A4AF8" w:rsidRPr="007A4AF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重要讲话和重要指示精神，按照国家、省关于全面推进政务公开工作决策部署，紧紧围绕市委</w:t>
      </w:r>
      <w:r w:rsidR="007A4AF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="007A4AF8" w:rsidRPr="007A4AF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市政府中心工作，聚焦便民利民、坚持规范创新，以更高站位、更实举措、更严要求全面深化政务公开，</w:t>
      </w:r>
      <w:r w:rsidR="007A4AF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更好助力淄博高新区打造“五个新高地”，争当淄博转型跨越发展的龙头和引领者。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 xml:space="preserve">  1.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主动公开方面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年，淄博高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新区坚持“公开为常态、不公开为例外”原则，通过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融公开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平台主动公开政府信息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3803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条，公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会议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并对议题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进行解读；针对当前热点及重点领域，公开发布相关政策文件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件，丰富解读形式，运用图片图解、音频视频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等方式，解读专业性较强的政策文件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件</w:t>
      </w:r>
      <w:r w:rsidR="007A4AF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微博信息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发布量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365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条，政务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微信信息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发布量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834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条。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依申请公开方面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统筹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做好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全区依申请公开信息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接收、登记、办理、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协查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、答复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、归档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等各环节工作，不断提升依申请公开答复质量。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年度，高新区共处理政府信息公开申请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件，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同比减少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38%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其中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自然人申请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件，商业企业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，申请内容主要涉及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旧村改造、土地征收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等领域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，均依法依规予以答复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因依申请公开引起的行政复议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件，行政诉讼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件，所有案件均按照法定程序进行了办理，较好保障了企业和群众获取信息的权利。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政府信息管理方面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及时更新调整政府信息主动公开目录，对部分主动公开事项时限进行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修改完善；完善政府信息公开源头认定机制，按照“谁制作、谁认定”原则，由公文制作单位认定公开属性，工委管委会办公室审核把关；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要求各相关部门做好公开信息保密审查。按照“谁公开、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谁审查”“谁审查、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谁负责”和“先审核、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后公开”的原则，明确保密职责，严格审查程序。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4.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平台建设方面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优化政府信息公开平台设置，全面梳理政府法定主动公开各栏目内容。创建“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政府信息公开条例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”等专题专栏，整合相关信息，集中对外发布，方便百姓查询使用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规范做好全区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各部门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39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个政务新媒体信息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发布工作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依托政务服务大厅，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增设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“政务公开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专区”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为群众现场查询政府信息提供方便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5.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监督保障方面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6C6D94" w:rsidRDefault="003C2760">
      <w:pPr>
        <w:overflowPunct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制发《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年淄博高新区政务公开工作方案》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，细化任务清单，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明确责任部门和完成时限。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开展政务公开问题日常监测工作，发现更新不及时、发布不规范等相关问题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300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余处，及时对接部门立行整改；举办政务公开培训会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次，不断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提升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各部门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政务公开队伍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整体水平；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在市政府网站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政务公开在行动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栏目投稿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217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篇，被采用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56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篇，营造良好工作氛围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微软雅黑" w:eastAsia="微软雅黑" w:hAnsi="微软雅黑" w:cs="微软雅黑" w:hint="eastAsia"/>
          <w:bCs/>
          <w:color w:val="000000"/>
          <w:shd w:val="clear" w:color="auto" w:fill="FFFFFF"/>
        </w:rPr>
        <w:t> </w:t>
      </w:r>
      <w:r>
        <w:rPr>
          <w:rStyle w:val="a6"/>
          <w:rFonts w:ascii="黑体" w:eastAsia="黑体" w:hAnsi="黑体" w:cs="黑体" w:hint="eastAsia"/>
          <w:b w:val="0"/>
          <w:color w:val="000000"/>
          <w:sz w:val="32"/>
          <w:szCs w:val="32"/>
          <w:shd w:val="clear" w:color="auto" w:fill="FFFFFF"/>
        </w:rPr>
        <w:t>二、主动公开政府信息情况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85"/>
        <w:gridCol w:w="2030"/>
        <w:gridCol w:w="2222"/>
      </w:tblGrid>
      <w:tr w:rsidR="006C6D94">
        <w:trPr>
          <w:trHeight w:val="473"/>
          <w:jc w:val="center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第二十条第（一）项</w:t>
            </w:r>
          </w:p>
        </w:tc>
      </w:tr>
      <w:tr w:rsidR="006C6D94">
        <w:trPr>
          <w:trHeight w:val="550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信息内容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本年制发件数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本年废止件数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现行有效件数</w:t>
            </w:r>
          </w:p>
        </w:tc>
      </w:tr>
      <w:tr w:rsidR="006C6D94">
        <w:trPr>
          <w:trHeight w:val="504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564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行政规范性文件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20</w:t>
            </w:r>
          </w:p>
        </w:tc>
      </w:tr>
      <w:tr w:rsidR="006C6D94">
        <w:trPr>
          <w:trHeight w:val="539"/>
          <w:jc w:val="center"/>
        </w:trPr>
        <w:tc>
          <w:tcPr>
            <w:tcW w:w="89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第二十条第（五）项</w:t>
            </w:r>
          </w:p>
        </w:tc>
      </w:tr>
      <w:tr w:rsidR="006C6D94">
        <w:trPr>
          <w:trHeight w:val="90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本年处理决定数量</w:t>
            </w:r>
          </w:p>
        </w:tc>
      </w:tr>
      <w:tr w:rsidR="006C6D94">
        <w:trPr>
          <w:trHeight w:val="544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  <w:jc w:val="center"/>
            </w:pPr>
            <w:r>
              <w:rPr>
                <w:rFonts w:hint="eastAsia"/>
              </w:rPr>
              <w:t>56624</w:t>
            </w:r>
          </w:p>
        </w:tc>
      </w:tr>
      <w:tr w:rsidR="006C6D94">
        <w:trPr>
          <w:trHeight w:val="408"/>
          <w:jc w:val="center"/>
        </w:trPr>
        <w:tc>
          <w:tcPr>
            <w:tcW w:w="89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第二十条第（六）项</w:t>
            </w:r>
          </w:p>
        </w:tc>
      </w:tr>
      <w:tr w:rsidR="006C6D94">
        <w:trPr>
          <w:trHeight w:val="48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本年处理决定数量</w:t>
            </w:r>
          </w:p>
        </w:tc>
      </w:tr>
      <w:tr w:rsidR="006C6D94">
        <w:trPr>
          <w:trHeight w:val="429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1524</w:t>
            </w:r>
          </w:p>
        </w:tc>
      </w:tr>
      <w:tr w:rsidR="006C6D94">
        <w:trPr>
          <w:trHeight w:val="429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79</w:t>
            </w:r>
          </w:p>
        </w:tc>
      </w:tr>
      <w:tr w:rsidR="006C6D94">
        <w:trPr>
          <w:trHeight w:val="471"/>
          <w:jc w:val="center"/>
        </w:trPr>
        <w:tc>
          <w:tcPr>
            <w:tcW w:w="89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第二十条第（八）项</w:t>
            </w:r>
          </w:p>
        </w:tc>
      </w:tr>
      <w:tr w:rsidR="006C6D94">
        <w:trPr>
          <w:trHeight w:val="497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>信息内容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本年收费金额（单位：万元）</w:t>
            </w:r>
          </w:p>
        </w:tc>
      </w:tr>
      <w:tr w:rsidR="006C6D94">
        <w:trPr>
          <w:trHeight w:val="497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ind w:firstLine="641"/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1480.337871</w:t>
            </w:r>
          </w:p>
        </w:tc>
      </w:tr>
    </w:tbl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微软雅黑" w:eastAsia="微软雅黑" w:hAnsi="微软雅黑" w:cs="微软雅黑"/>
          <w:color w:val="000000"/>
        </w:rPr>
      </w:pPr>
      <w:r>
        <w:rPr>
          <w:rStyle w:val="a6"/>
          <w:rFonts w:ascii="黑体" w:eastAsia="黑体" w:hAnsi="黑体" w:cs="黑体" w:hint="eastAsia"/>
          <w:b w:val="0"/>
          <w:color w:val="000000"/>
          <w:sz w:val="32"/>
          <w:szCs w:val="32"/>
          <w:shd w:val="clear" w:color="auto" w:fill="FFFFFF"/>
        </w:rPr>
        <w:t>三、</w:t>
      </w:r>
      <w:r>
        <w:rPr>
          <w:rStyle w:val="a6"/>
          <w:rFonts w:ascii="黑体" w:eastAsia="黑体" w:hAnsi="黑体" w:cs="黑体" w:hint="eastAsia"/>
          <w:b w:val="0"/>
          <w:color w:val="000000"/>
          <w:sz w:val="32"/>
          <w:szCs w:val="32"/>
          <w:shd w:val="clear" w:color="auto" w:fill="FFFFFF"/>
        </w:rPr>
        <w:t>收到和处理政府信息公开申请情况</w:t>
      </w:r>
    </w:p>
    <w:tbl>
      <w:tblPr>
        <w:tblW w:w="1090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994"/>
        <w:gridCol w:w="2342"/>
        <w:gridCol w:w="994"/>
        <w:gridCol w:w="1008"/>
        <w:gridCol w:w="954"/>
        <w:gridCol w:w="1021"/>
        <w:gridCol w:w="1048"/>
        <w:gridCol w:w="823"/>
        <w:gridCol w:w="903"/>
      </w:tblGrid>
      <w:tr w:rsidR="006C6D94">
        <w:trPr>
          <w:trHeight w:val="346"/>
          <w:jc w:val="center"/>
        </w:trPr>
        <w:tc>
          <w:tcPr>
            <w:tcW w:w="4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（本列数据的勾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</w:rPr>
              <w:t>稽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</w:rPr>
              <w:t>关系为：第一项加第二项之和，等于第三项加第四项之和）</w:t>
            </w:r>
          </w:p>
        </w:tc>
        <w:tc>
          <w:tcPr>
            <w:tcW w:w="67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申请人情况</w:t>
            </w:r>
          </w:p>
        </w:tc>
      </w:tr>
      <w:tr w:rsidR="006C6D94">
        <w:trPr>
          <w:trHeight w:val="348"/>
          <w:jc w:val="center"/>
        </w:trPr>
        <w:tc>
          <w:tcPr>
            <w:tcW w:w="4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自然人</w:t>
            </w:r>
          </w:p>
        </w:tc>
        <w:tc>
          <w:tcPr>
            <w:tcW w:w="48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法人或其他组织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总计</w:t>
            </w:r>
          </w:p>
        </w:tc>
      </w:tr>
      <w:tr w:rsidR="006C6D94">
        <w:trPr>
          <w:trHeight w:val="676"/>
          <w:jc w:val="center"/>
        </w:trPr>
        <w:tc>
          <w:tcPr>
            <w:tcW w:w="4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商业</w:t>
            </w:r>
          </w:p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企业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科研</w:t>
            </w:r>
          </w:p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机构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社会公益组织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法律服务机构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其他</w:t>
            </w:r>
          </w:p>
        </w:tc>
        <w:tc>
          <w:tcPr>
            <w:tcW w:w="9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</w:tr>
      <w:tr w:rsidR="006C6D94">
        <w:trPr>
          <w:trHeight w:val="348"/>
          <w:jc w:val="center"/>
        </w:trPr>
        <w:tc>
          <w:tcPr>
            <w:tcW w:w="4157" w:type="dxa"/>
            <w:gridSpan w:val="3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一、本年新收政府信息公开申请数量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53</w:t>
            </w:r>
          </w:p>
        </w:tc>
      </w:tr>
      <w:tr w:rsidR="006C6D94">
        <w:trPr>
          <w:trHeight w:val="348"/>
          <w:jc w:val="center"/>
        </w:trPr>
        <w:tc>
          <w:tcPr>
            <w:tcW w:w="4157" w:type="dxa"/>
            <w:gridSpan w:val="3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二、上年结转政府信息公开申请数量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2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 w:val="restar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三、本年度办理结果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（一）予以公开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36</w:t>
            </w:r>
          </w:p>
        </w:tc>
      </w:tr>
      <w:tr w:rsidR="006C6D94">
        <w:trPr>
          <w:trHeight w:val="676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（二）部分公开（区分处理的，只计这一情形，不计其他情形）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4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（三）不予公开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属于国家秘密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90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其他法律行政法规禁止公开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3.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危及“三安全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</w:rPr>
              <w:t>稳定”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4.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保护第三方合法权益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5.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属于三类内部事务信息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2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6.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属于四类过程性信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>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7.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属于行政执法案卷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8.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属于行政查询事项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（四）无法提供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本机关不掌握相关政府信息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10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没有现成信息需要另行制作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634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3.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补正后申请内容仍不明确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（五）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</w:rPr>
              <w:t>不予处理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信访举报投诉类申请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重复申请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3.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要求提供公开出版物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4.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无正当理由大量反复申请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83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5.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要求行政机关确认或重新出具已获取信息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</w:t>
            </w:r>
          </w:p>
        </w:tc>
      </w:tr>
      <w:tr w:rsidR="006C6D94">
        <w:trPr>
          <w:trHeight w:val="100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（六）其他处理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申请人无正当理由逾期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</w:rPr>
              <w:t>不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</w:rPr>
              <w:t>补正、行政机关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</w:rPr>
              <w:t>不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</w:rPr>
              <w:t>再处理其政府信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>息公开申请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</w:t>
            </w:r>
          </w:p>
        </w:tc>
      </w:tr>
      <w:tr w:rsidR="006C6D94">
        <w:trPr>
          <w:trHeight w:val="100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申请人逾期未按收费通知要求缴纳费用、行政机关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</w:rPr>
              <w:t>不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</w:rPr>
              <w:t>再处理其政府信息公开申请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  <w:tr w:rsidR="006C6D94">
        <w:trPr>
          <w:trHeight w:val="348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3.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其他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</w:t>
            </w:r>
          </w:p>
        </w:tc>
      </w:tr>
      <w:tr w:rsidR="006C6D94">
        <w:trPr>
          <w:trHeight w:val="262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（七）总计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55</w:t>
            </w:r>
          </w:p>
        </w:tc>
      </w:tr>
      <w:tr w:rsidR="006C6D94">
        <w:trPr>
          <w:trHeight w:val="369"/>
          <w:jc w:val="center"/>
        </w:trPr>
        <w:tc>
          <w:tcPr>
            <w:tcW w:w="4157" w:type="dxa"/>
            <w:gridSpan w:val="3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四、结转下年度继续办理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</w:tbl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Style w:val="a6"/>
          <w:rFonts w:ascii="黑体" w:eastAsia="黑体" w:hAnsi="黑体" w:cs="黑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黑体" w:eastAsia="黑体" w:hAnsi="黑体" w:cs="黑体" w:hint="eastAsia"/>
          <w:b w:val="0"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10740" w:type="dxa"/>
        <w:tblInd w:w="-78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744"/>
        <w:gridCol w:w="756"/>
        <w:gridCol w:w="756"/>
        <w:gridCol w:w="564"/>
        <w:gridCol w:w="780"/>
        <w:gridCol w:w="768"/>
        <w:gridCol w:w="756"/>
        <w:gridCol w:w="716"/>
        <w:gridCol w:w="556"/>
        <w:gridCol w:w="780"/>
        <w:gridCol w:w="792"/>
        <w:gridCol w:w="708"/>
        <w:gridCol w:w="840"/>
        <w:gridCol w:w="492"/>
      </w:tblGrid>
      <w:tr w:rsidR="006C6D94">
        <w:trPr>
          <w:trHeight w:val="472"/>
        </w:trPr>
        <w:tc>
          <w:tcPr>
            <w:tcW w:w="3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行政复议</w:t>
            </w:r>
          </w:p>
        </w:tc>
        <w:tc>
          <w:tcPr>
            <w:tcW w:w="718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行政诉讼</w:t>
            </w:r>
          </w:p>
        </w:tc>
      </w:tr>
      <w:tr w:rsidR="006C6D94">
        <w:trPr>
          <w:trHeight w:val="563"/>
        </w:trPr>
        <w:tc>
          <w:tcPr>
            <w:tcW w:w="7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结果维持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结果纠正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其他结果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尚未审结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总计</w:t>
            </w:r>
          </w:p>
        </w:tc>
        <w:tc>
          <w:tcPr>
            <w:tcW w:w="35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未经复议直接起诉</w:t>
            </w:r>
          </w:p>
        </w:tc>
        <w:tc>
          <w:tcPr>
            <w:tcW w:w="36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复议后起诉</w:t>
            </w:r>
          </w:p>
        </w:tc>
      </w:tr>
      <w:tr w:rsidR="006C6D94"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7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6C6D94">
            <w:pPr>
              <w:spacing w:line="56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结果维持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结果纠正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其他结果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尚未审结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总计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结果维持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结果纠正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其他结果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尚未审结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总计</w:t>
            </w:r>
          </w:p>
        </w:tc>
      </w:tr>
      <w:tr w:rsidR="006C6D94">
        <w:trPr>
          <w:trHeight w:val="575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D94" w:rsidRDefault="003C2760">
            <w:pPr>
              <w:pStyle w:val="a5"/>
              <w:widowControl/>
              <w:spacing w:beforeAutospacing="0" w:afterAutospacing="0" w:line="560" w:lineRule="exac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0</w:t>
            </w:r>
          </w:p>
        </w:tc>
      </w:tr>
    </w:tbl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rPr>
          <w:rStyle w:val="a6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bCs/>
          <w:color w:val="000000"/>
          <w:shd w:val="clear" w:color="auto" w:fill="FFFFFF"/>
        </w:rPr>
        <w:t xml:space="preserve">    </w:t>
      </w:r>
      <w:r>
        <w:rPr>
          <w:rStyle w:val="a6"/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 xml:space="preserve">  </w:t>
      </w:r>
      <w:r>
        <w:rPr>
          <w:rStyle w:val="a6"/>
          <w:rFonts w:ascii="黑体" w:eastAsia="黑体" w:hAnsi="黑体" w:cs="黑体" w:hint="eastAsia"/>
          <w:b w:val="0"/>
          <w:color w:val="000000"/>
          <w:sz w:val="32"/>
          <w:szCs w:val="32"/>
          <w:shd w:val="clear" w:color="auto" w:fill="FFFFFF"/>
        </w:rPr>
        <w:t>五、存在的主要问题及改进情况</w:t>
      </w:r>
      <w:r>
        <w:rPr>
          <w:rStyle w:val="a6"/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   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     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高新区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信息公开工作虽然取得了一定成效，但还存在以下问题：一是主动公开内容有待进一步优化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政府信息公开服务效能有待进一步提升。二是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政府会议公开方面存在公开形式单一、公开要素不全等问题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 xml:space="preserve">     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改进措施：一是及时更新完善政府信息主动公开目录，结合职责实际动态调整法定主动公开内容，认真做好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规范性文件动态更新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工作，提高信息公开服务效能。加强政务公开监督考核，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并将考核结果运用到部门月度绩效考核。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加强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培训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指导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力度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年内召开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次政务公开培训，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进一步强化政务公开保障效能。二是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加大对政府会议的公开力度，对重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要会议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议题进行多样化解读，完善政府会议列席人员信息，及时关联会议相关媒体报道宣传材料，不断丰富政府会议公开形式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 xml:space="preserve">      </w:t>
      </w:r>
      <w:r>
        <w:rPr>
          <w:rStyle w:val="a6"/>
          <w:rFonts w:ascii="黑体" w:eastAsia="黑体" w:hAnsi="黑体" w:cs="黑体" w:hint="eastAsia"/>
          <w:b w:val="0"/>
          <w:color w:val="000000"/>
          <w:sz w:val="32"/>
          <w:szCs w:val="32"/>
          <w:shd w:val="clear" w:color="auto" w:fill="FFFFFF"/>
        </w:rPr>
        <w:t>六、其他需要报告的事项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      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（一）依申请公开收费情况：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本年度依申请公开，未收取任何信息处理费。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   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本年度建议提案办理情况：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高新区作为淄博市派出机构，无单独办理建议提案职能。</w:t>
      </w:r>
    </w:p>
    <w:p w:rsidR="006C6D94" w:rsidRDefault="003C2760">
      <w:pPr>
        <w:pStyle w:val="a5"/>
        <w:widowControl/>
        <w:spacing w:beforeAutospacing="0" w:afterAutospacing="0" w:line="560" w:lineRule="exact"/>
        <w:ind w:firstLine="480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（三）创新实践情况：</w:t>
      </w:r>
    </w:p>
    <w:p w:rsidR="006C6D94" w:rsidRDefault="003C2760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坚持服务导向，务实创新，依申请规范化水平不断提升。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高新区严格落实上级规定，不断规范政府依申请公开答复各环节流程。形成由管委会办公室统筹全区依申请公开答复登记、转办、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协调会商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、审核、统计、归档等全生命周期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管理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工作模式，建立“起草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科室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-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起草部门主要负责人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-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律师团队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-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管委会办公室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-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管委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分管领导”五级审核制度，层层审核、分级把关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通过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以上手段，一方面，有效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缩短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件时限，减轻部门工作压力，另一方面，有效提升答复质量，提高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群众满意度。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，高新区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依法依规处理依申请公开答复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件，同比下降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左右，未发生由信息公开答复不规范引发的行政复议及行政诉讼案件，切实回应群众关切。</w:t>
      </w:r>
    </w:p>
    <w:p w:rsidR="006C6D94" w:rsidRDefault="003C2760">
      <w:pPr>
        <w:pStyle w:val="a5"/>
        <w:widowControl/>
        <w:spacing w:beforeAutospacing="0" w:afterAutospacing="0" w:line="56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（四）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《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年淄博市政务公开工作方案》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落实情况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：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制定《关于印发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&lt;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年高新区政务公开工作方案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&gt;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的通知》（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高新管办〔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号），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将任务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分解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项子指标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，建立工作台账，细化责任清单、落实主体责任。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定期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对全区政府信息公开部门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开展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专项检查，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检查结果在部门月度绩效考核中予以体现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，确保上级部署任务全面落实。</w:t>
      </w:r>
    </w:p>
    <w:p w:rsidR="006C6D94" w:rsidRDefault="003C2760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    </w:t>
      </w:r>
    </w:p>
    <w:p w:rsidR="006C6D94" w:rsidRDefault="006C6D9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6C6D94">
      <w:pgSz w:w="11906" w:h="16838"/>
      <w:pgMar w:top="2154" w:right="1474" w:bottom="1928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54383BAC"/>
    <w:rsid w:val="003C2760"/>
    <w:rsid w:val="006C6D94"/>
    <w:rsid w:val="007A4AF8"/>
    <w:rsid w:val="01635F16"/>
    <w:rsid w:val="0316033F"/>
    <w:rsid w:val="0341020B"/>
    <w:rsid w:val="03823080"/>
    <w:rsid w:val="07B8399D"/>
    <w:rsid w:val="09A37BB8"/>
    <w:rsid w:val="0BDF15F4"/>
    <w:rsid w:val="0D3D4F2A"/>
    <w:rsid w:val="103E1009"/>
    <w:rsid w:val="14171240"/>
    <w:rsid w:val="1522269D"/>
    <w:rsid w:val="15BE62CD"/>
    <w:rsid w:val="17C8104B"/>
    <w:rsid w:val="18220FF1"/>
    <w:rsid w:val="19DE50EE"/>
    <w:rsid w:val="1A6F1A32"/>
    <w:rsid w:val="1E8C72FE"/>
    <w:rsid w:val="20110B41"/>
    <w:rsid w:val="209C508F"/>
    <w:rsid w:val="21044946"/>
    <w:rsid w:val="2CA17815"/>
    <w:rsid w:val="35321674"/>
    <w:rsid w:val="353C0977"/>
    <w:rsid w:val="366E05F0"/>
    <w:rsid w:val="3A722B66"/>
    <w:rsid w:val="3B1C305B"/>
    <w:rsid w:val="3F650802"/>
    <w:rsid w:val="43D848A9"/>
    <w:rsid w:val="46531F65"/>
    <w:rsid w:val="48622913"/>
    <w:rsid w:val="4FAA7F61"/>
    <w:rsid w:val="54383BAC"/>
    <w:rsid w:val="55AA3FCC"/>
    <w:rsid w:val="58CF382B"/>
    <w:rsid w:val="59E20F76"/>
    <w:rsid w:val="5C510FC0"/>
    <w:rsid w:val="5CD26EE3"/>
    <w:rsid w:val="5D937351"/>
    <w:rsid w:val="5F330B59"/>
    <w:rsid w:val="61F11DB0"/>
    <w:rsid w:val="63AE67B1"/>
    <w:rsid w:val="64D0694B"/>
    <w:rsid w:val="64DD5931"/>
    <w:rsid w:val="6B2E6569"/>
    <w:rsid w:val="6DB636B3"/>
    <w:rsid w:val="6E69536A"/>
    <w:rsid w:val="6F7B6E0B"/>
    <w:rsid w:val="704F1ACD"/>
    <w:rsid w:val="71541077"/>
    <w:rsid w:val="79D332C5"/>
    <w:rsid w:val="7D8E700C"/>
    <w:rsid w:val="7FC0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C78D03-CAE8-4491-AA7E-550B51EA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autoRedefine/>
    <w:uiPriority w:val="1"/>
    <w:unhideWhenUsed/>
    <w:qFormat/>
    <w:pPr>
      <w:spacing w:after="120"/>
    </w:pPr>
  </w:style>
  <w:style w:type="paragraph" w:styleId="2">
    <w:name w:val="Body Text First Indent 2"/>
    <w:basedOn w:val="a4"/>
    <w:next w:val="a"/>
    <w:autoRedefine/>
    <w:qFormat/>
    <w:pPr>
      <w:spacing w:beforeLines="50" w:afterLines="50"/>
      <w:ind w:leftChars="200" w:left="200"/>
    </w:pPr>
  </w:style>
  <w:style w:type="paragraph" w:styleId="a4">
    <w:name w:val="Body Text Indent"/>
    <w:basedOn w:val="a"/>
    <w:autoRedefine/>
    <w:qFormat/>
    <w:pPr>
      <w:ind w:leftChars="342" w:left="718"/>
    </w:p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autoRedefine/>
    <w:qFormat/>
    <w:rPr>
      <w:b/>
    </w:rPr>
  </w:style>
  <w:style w:type="character" w:styleId="a7">
    <w:name w:val="Hyperlink"/>
    <w:basedOn w:val="a1"/>
    <w:autoRedefine/>
    <w:qFormat/>
    <w:rPr>
      <w:color w:val="0000FF"/>
      <w:u w:val="single"/>
    </w:rPr>
  </w:style>
  <w:style w:type="character" w:customStyle="1" w:styleId="NormalCharacter">
    <w:name w:val="NormalCharacter"/>
    <w:autoRedefine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x.qq.com/cgi-bin/mmwebwx-bin/webwxcheckurl?requrl=http://zbgxqbgs@zb.shandong.cn&amp;skey=@crypt_a2f84e4e_b0cda42c1437c7f439d243f8f8d9d694&amp;deviceid=e434130017822477&amp;pass_ticket=5MurCvRqvUq84c0qq0UdTsT+iuJZWzHwNEdISHvBYh49hCe5WAnXbPYe6IzddmlW&amp;opcode=2&amp;scene=1&amp;username=@ac54f26fbc83d931855e8a21c7aaf05f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</cp:lastModifiedBy>
  <cp:revision>2</cp:revision>
  <dcterms:created xsi:type="dcterms:W3CDTF">2024-02-04T06:50:00Z</dcterms:created>
  <dcterms:modified xsi:type="dcterms:W3CDTF">2024-02-07T03:23:00Z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E071C5777FCA45ADB167CB1E76850D83_13</vt:lpwstr>
  </property>
</Properties>
</file>