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rStyle w:val="5"/>
          <w:rFonts w:ascii="微软雅黑" w:hAnsi="微软雅黑" w:eastAsia="微软雅黑" w:cs="微软雅黑"/>
          <w:sz w:val="36"/>
          <w:szCs w:val="36"/>
        </w:rPr>
        <w:t>淄博高新技术产业开发区市场监督管理局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60" w:lineRule="atLeast"/>
        <w:ind w:left="0" w:right="0" w:firstLine="0"/>
        <w:jc w:val="center"/>
      </w:pPr>
      <w:r>
        <w:rPr>
          <w:rStyle w:val="5"/>
          <w:rFonts w:hint="eastAsia" w:ascii="微软雅黑" w:hAnsi="微软雅黑" w:eastAsia="微软雅黑" w:cs="微软雅黑"/>
          <w:caps w:val="0"/>
          <w:color w:val="333333"/>
          <w:spacing w:val="-17"/>
          <w:sz w:val="36"/>
          <w:szCs w:val="36"/>
          <w:bdr w:val="none" w:color="auto" w:sz="0" w:space="0"/>
          <w:shd w:val="clear" w:fill="FFFFFF"/>
        </w:rPr>
        <w:t>2023年政府信息公开工作</w:t>
      </w:r>
      <w:r>
        <w:rPr>
          <w:rStyle w:val="5"/>
          <w:rFonts w:hint="eastAsia" w:ascii="微软雅黑" w:hAnsi="微软雅黑" w:eastAsia="微软雅黑" w:cs="微软雅黑"/>
          <w:caps w:val="0"/>
          <w:color w:val="333333"/>
          <w:spacing w:val="0"/>
          <w:sz w:val="36"/>
          <w:szCs w:val="36"/>
          <w:bdr w:val="none" w:color="auto" w:sz="0" w:space="0"/>
          <w:shd w:val="clear" w:fill="FFFFFF"/>
        </w:rPr>
        <w:t>年度报告</w:t>
      </w:r>
    </w:p>
    <w:bookmarkEnd w:id="0"/>
    <w:p>
      <w:pPr>
        <w:pStyle w:val="2"/>
        <w:keepNext w:val="0"/>
        <w:keepLines w:val="0"/>
        <w:widowControl/>
        <w:suppressLineNumbers w:val="0"/>
        <w:jc w:val="center"/>
      </w:pPr>
      <w:r>
        <w:rPr>
          <w:rStyle w:val="5"/>
          <w:rFonts w:hint="eastAsia" w:ascii="微软雅黑" w:hAnsi="微软雅黑" w:eastAsia="微软雅黑" w:cs="微软雅黑"/>
          <w:sz w:val="24"/>
          <w:szCs w:val="24"/>
        </w:rPr>
        <w:t> </w:t>
      </w:r>
    </w:p>
    <w:p>
      <w:pPr>
        <w:pStyle w:val="2"/>
        <w:keepNext w:val="0"/>
        <w:keepLines w:val="0"/>
        <w:widowControl/>
        <w:suppressLineNumbers w:val="0"/>
        <w:spacing w:line="560" w:lineRule="atLeast"/>
        <w:ind w:left="0" w:firstLine="640"/>
        <w:jc w:val="both"/>
      </w:pPr>
      <w:r>
        <w:rPr>
          <w:rFonts w:hint="eastAsia" w:ascii="微软雅黑" w:hAnsi="微软雅黑" w:eastAsia="微软雅黑" w:cs="微软雅黑"/>
          <w:sz w:val="24"/>
          <w:szCs w:val="24"/>
        </w:rPr>
        <w:t>本年度报告中所列数据的统计期限自2023年1月1日起至2023年12月31日止。如对本报告有任何疑问，请与淄博高新技术产业开发区市场监督管 理局联系（地址：淄博市高新区柳泉路北首火炬大厦16楼，邮编：255086，电话：（0533-3580028，邮箱：gxqscjgj@zb.shandong.cn）。</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一、总体情况</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2023年，高新技术产业开发区市场监督管理局全面贯彻落实党的二十大精神，按照政府信息公开的相关规定，进一步完善了政府信息公开工作机制，建立了常态化信息公开工作体系，安排专人负责政务信息公开工作，积极落实落细各项工作。</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1.主动公开方面</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2023年，高新技术产业开发区市场监督管理局主动公开政府信息233条。其中，制发行政规范性文件0件，同步开展政策解读3件。为落实《政府信息公开条例》规定，依法做好法定主动公开信息工作，及时进行政策解读、公开财政预决算情况和受理群众咨询，回应群众关切。</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2.依申请公开工作方面</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2023年，收到政府信息公开申请3件，同比增长200%。为较好的保障企业和群众获取政府信息的权利，严格落实《政府信息公开条例》要求，对依申请信息依法进行审核把关后决定是否进行公开，所有信息公开申请全部依法依规予以办理，因依申请公开引发的行政复议案件0件，行政诉讼案件0件。</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3.政府信息管理方面</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动态更新政府信息主动公开目录，明确全年重点工作和责任分工；完善政务信息公开源头认定机制；对拟公开的政府信息依法依规做好保密审查，切实做到“涉密信息不上网，上网信息不涉密”；对本单位制发政府规范性文件及时清理，对失效、废止的文件进行清理，及时标注有效、失效情况，年内公开清理结果0条。</w:t>
      </w:r>
    </w:p>
    <w:p>
      <w:pPr>
        <w:pStyle w:val="2"/>
        <w:keepNext w:val="0"/>
        <w:keepLines w:val="0"/>
        <w:widowControl/>
        <w:suppressLineNumbers w:val="0"/>
        <w:autoSpaceDE w:val="0"/>
        <w:autoSpaceDN/>
        <w:spacing w:line="560" w:lineRule="atLeast"/>
        <w:ind w:left="0" w:firstLine="320"/>
      </w:pPr>
      <w:r>
        <w:rPr>
          <w:rFonts w:hint="eastAsia" w:ascii="微软雅黑" w:hAnsi="微软雅黑" w:eastAsia="微软雅黑" w:cs="微软雅黑"/>
          <w:sz w:val="24"/>
          <w:szCs w:val="24"/>
        </w:rPr>
        <w:t>4.平台建设方面</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根据高新区管委办公室工作部署，及时调整优化政府信息公开平台栏目设置，优化政策解读专题；充分发挥政务新媒体推介宣传作用，截至目前，微信公众号关注人数累计36417人次，全年发布公众号文章400条。</w:t>
      </w:r>
    </w:p>
    <w:p>
      <w:pPr>
        <w:pStyle w:val="2"/>
        <w:keepNext w:val="0"/>
        <w:keepLines w:val="0"/>
        <w:widowControl/>
        <w:suppressLineNumbers w:val="0"/>
        <w:autoSpaceDE w:val="0"/>
        <w:autoSpaceDN/>
        <w:spacing w:line="560" w:lineRule="atLeast"/>
        <w:ind w:left="0" w:firstLine="320"/>
      </w:pPr>
      <w:r>
        <w:rPr>
          <w:rFonts w:hint="eastAsia" w:ascii="微软雅黑" w:hAnsi="微软雅黑" w:eastAsia="微软雅黑" w:cs="微软雅黑"/>
          <w:sz w:val="24"/>
          <w:szCs w:val="24"/>
        </w:rPr>
        <w:t>5.监督保障方面</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调整政务公开工作领导小组，建立常态化信息公开工作体系，明确主要负责同志对政务公开工作负总责，各科室确定一名政务公开工作联络员，定期会商，责任到人；制定2023年政务公开培训计划，全年开展专题培训3次，确保年度工作目标的完成。</w:t>
      </w:r>
    </w:p>
    <w:p>
      <w:pPr>
        <w:pStyle w:val="2"/>
        <w:keepNext w:val="0"/>
        <w:keepLines w:val="0"/>
        <w:widowControl/>
        <w:suppressLineNumbers w:val="0"/>
        <w:ind w:left="0" w:firstLine="640"/>
      </w:pPr>
      <w:r>
        <w:rPr>
          <w:rFonts w:hint="eastAsia" w:ascii="微软雅黑" w:hAnsi="微软雅黑" w:eastAsia="微软雅黑" w:cs="微软雅黑"/>
          <w:sz w:val="24"/>
          <w:szCs w:val="24"/>
        </w:rPr>
        <w:t>二、主动公开政府信息情况</w:t>
      </w:r>
    </w:p>
    <w:p>
      <w:pPr>
        <w:pStyle w:val="2"/>
        <w:keepNext w:val="0"/>
        <w:keepLines w:val="0"/>
        <w:widowControl/>
        <w:suppressLineNumbers w:val="0"/>
      </w:pPr>
      <w:r>
        <w:rPr>
          <w:rFonts w:hint="eastAsia" w:ascii="微软雅黑" w:hAnsi="微软雅黑" w:eastAsia="微软雅黑" w:cs="微软雅黑"/>
          <w:sz w:val="24"/>
          <w:szCs w:val="24"/>
        </w:rPr>
        <w:t> </w:t>
      </w:r>
    </w:p>
    <w:tbl>
      <w:tblPr>
        <w:tblW w:w="96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09"/>
        <w:gridCol w:w="2409"/>
        <w:gridCol w:w="2410"/>
        <w:gridCol w:w="24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3" w:hRule="atLeast"/>
          <w:jc w:val="center"/>
        </w:trPr>
        <w:tc>
          <w:tcPr>
            <w:tcW w:w="9638" w:type="dxa"/>
            <w:gridSpan w:val="4"/>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0"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信息内容</w:t>
            </w:r>
          </w:p>
        </w:tc>
        <w:tc>
          <w:tcPr>
            <w:tcW w:w="240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本年制发件数</w:t>
            </w:r>
          </w:p>
        </w:tc>
        <w:tc>
          <w:tcPr>
            <w:tcW w:w="241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本年废止件数</w:t>
            </w:r>
          </w:p>
        </w:tc>
        <w:tc>
          <w:tcPr>
            <w:tcW w:w="241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8"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color w:val="000000"/>
                <w:sz w:val="24"/>
                <w:szCs w:val="24"/>
                <w:bdr w:val="none" w:color="auto" w:sz="0" w:space="0"/>
              </w:rPr>
              <w:t>规章</w:t>
            </w:r>
          </w:p>
        </w:tc>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241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241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6"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color w:val="000000"/>
                <w:sz w:val="24"/>
                <w:szCs w:val="24"/>
                <w:bdr w:val="none" w:color="auto" w:sz="0" w:space="0"/>
              </w:rPr>
              <w:t>行政规范性文件</w:t>
            </w:r>
          </w:p>
        </w:tc>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241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241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ind w:left="0" w:firstLine="1050"/>
              <w:jc w:val="both"/>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96" w:hRule="atLeast"/>
          <w:jc w:val="center"/>
        </w:trPr>
        <w:tc>
          <w:tcPr>
            <w:tcW w:w="9638"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3"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信息内容</w:t>
            </w:r>
          </w:p>
        </w:tc>
        <w:tc>
          <w:tcPr>
            <w:tcW w:w="7229"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4"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color w:val="000000"/>
                <w:sz w:val="24"/>
                <w:szCs w:val="24"/>
                <w:bdr w:val="none" w:color="auto" w:sz="0" w:space="0"/>
              </w:rPr>
              <w:t>行政许可</w:t>
            </w:r>
          </w:p>
        </w:tc>
        <w:tc>
          <w:tcPr>
            <w:tcW w:w="72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22068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8" w:hRule="atLeast"/>
          <w:jc w:val="center"/>
        </w:trPr>
        <w:tc>
          <w:tcPr>
            <w:tcW w:w="9638"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1"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信息内容</w:t>
            </w:r>
          </w:p>
        </w:tc>
        <w:tc>
          <w:tcPr>
            <w:tcW w:w="7229"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9"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color w:val="000000"/>
                <w:sz w:val="24"/>
                <w:szCs w:val="24"/>
                <w:bdr w:val="none" w:color="auto" w:sz="0" w:space="0"/>
              </w:rPr>
              <w:t>行政处罚</w:t>
            </w:r>
          </w:p>
        </w:tc>
        <w:tc>
          <w:tcPr>
            <w:tcW w:w="72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776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9"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color w:val="000000"/>
                <w:sz w:val="24"/>
                <w:szCs w:val="24"/>
                <w:bdr w:val="none" w:color="auto" w:sz="0" w:space="0"/>
              </w:rPr>
              <w:t>行政强制</w:t>
            </w:r>
          </w:p>
        </w:tc>
        <w:tc>
          <w:tcPr>
            <w:tcW w:w="72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69" w:hRule="atLeast"/>
          <w:jc w:val="center"/>
        </w:trPr>
        <w:tc>
          <w:tcPr>
            <w:tcW w:w="9638" w:type="dxa"/>
            <w:gridSpan w:val="4"/>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2"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信息内容</w:t>
            </w:r>
          </w:p>
        </w:tc>
        <w:tc>
          <w:tcPr>
            <w:tcW w:w="7229"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7" w:hRule="atLeast"/>
          <w:jc w:val="center"/>
        </w:trPr>
        <w:tc>
          <w:tcPr>
            <w:tcW w:w="240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left"/>
            </w:pPr>
            <w:r>
              <w:rPr>
                <w:rFonts w:hint="eastAsia" w:ascii="微软雅黑" w:hAnsi="微软雅黑" w:eastAsia="微软雅黑" w:cs="微软雅黑"/>
                <w:color w:val="000000"/>
                <w:sz w:val="24"/>
                <w:szCs w:val="24"/>
                <w:bdr w:val="none" w:color="auto" w:sz="0" w:space="0"/>
              </w:rPr>
              <w:t>行政事业性收费</w:t>
            </w:r>
          </w:p>
        </w:tc>
        <w:tc>
          <w:tcPr>
            <w:tcW w:w="7229"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bl>
    <w:p>
      <w:pPr>
        <w:pStyle w:val="2"/>
        <w:keepNext w:val="0"/>
        <w:keepLines w:val="0"/>
        <w:widowControl/>
        <w:suppressLineNumbers w:val="0"/>
      </w:pPr>
      <w:r>
        <w:rPr>
          <w:rFonts w:hint="eastAsia" w:ascii="微软雅黑" w:hAnsi="微软雅黑" w:eastAsia="微软雅黑" w:cs="微软雅黑"/>
          <w:sz w:val="24"/>
          <w:szCs w:val="24"/>
        </w:rPr>
        <w:t> </w:t>
      </w:r>
    </w:p>
    <w:p>
      <w:pPr>
        <w:pStyle w:val="2"/>
        <w:keepNext w:val="0"/>
        <w:keepLines w:val="0"/>
        <w:widowControl/>
        <w:suppressLineNumbers w:val="0"/>
      </w:pPr>
      <w:r>
        <w:rPr>
          <w:rFonts w:hint="eastAsia" w:ascii="微软雅黑" w:hAnsi="微软雅黑" w:eastAsia="微软雅黑" w:cs="微软雅黑"/>
          <w:sz w:val="24"/>
          <w:szCs w:val="24"/>
        </w:rPr>
        <w:t>     三、收到和处理政府信息公开申请情况</w:t>
      </w:r>
    </w:p>
    <w:tbl>
      <w:tblPr>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98"/>
        <w:gridCol w:w="1208"/>
        <w:gridCol w:w="2788"/>
        <w:gridCol w:w="588"/>
        <w:gridCol w:w="619"/>
        <w:gridCol w:w="619"/>
        <w:gridCol w:w="619"/>
        <w:gridCol w:w="619"/>
        <w:gridCol w:w="620"/>
        <w:gridCol w:w="7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3540"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（本列数据的勾稽关系为：第一项加第二项</w:t>
            </w:r>
          </w:p>
          <w:p>
            <w:pPr>
              <w:pStyle w:val="2"/>
              <w:keepNext w:val="0"/>
              <w:keepLines w:val="0"/>
              <w:widowControl/>
              <w:suppressLineNumbers w:val="0"/>
              <w:jc w:val="right"/>
            </w:pPr>
            <w:r>
              <w:rPr>
                <w:rFonts w:hint="eastAsia" w:ascii="微软雅黑" w:hAnsi="微软雅黑" w:eastAsia="微软雅黑" w:cs="微软雅黑"/>
                <w:sz w:val="24"/>
                <w:szCs w:val="24"/>
                <w:bdr w:val="none" w:color="auto" w:sz="0" w:space="0"/>
              </w:rPr>
              <w:t>之和，等于第三项加第四项之和）</w:t>
            </w:r>
          </w:p>
        </w:tc>
        <w:tc>
          <w:tcPr>
            <w:tcW w:w="3360"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3540"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9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自然人</w:t>
            </w:r>
          </w:p>
        </w:tc>
        <w:tc>
          <w:tcPr>
            <w:tcW w:w="2400"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法人或其他组织</w:t>
            </w:r>
          </w:p>
        </w:tc>
        <w:tc>
          <w:tcPr>
            <w:tcW w:w="570"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85" w:hRule="atLeast"/>
          <w:jc w:val="center"/>
        </w:trPr>
        <w:tc>
          <w:tcPr>
            <w:tcW w:w="3540"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9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商业企业</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科研机构</w:t>
            </w:r>
          </w:p>
        </w:tc>
        <w:tc>
          <w:tcPr>
            <w:tcW w:w="4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社会公益组织</w:t>
            </w:r>
          </w:p>
        </w:tc>
        <w:tc>
          <w:tcPr>
            <w:tcW w:w="4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法律服务机构</w:t>
            </w:r>
          </w:p>
        </w:tc>
        <w:tc>
          <w:tcPr>
            <w:tcW w:w="48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w:t>
            </w:r>
          </w:p>
        </w:tc>
        <w:tc>
          <w:tcPr>
            <w:tcW w:w="570"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jc w:val="center"/>
        </w:trPr>
        <w:tc>
          <w:tcPr>
            <w:tcW w:w="354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一、本年新收政府信息公开申请数量</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354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二、上年结转政府信息公开申请数量</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8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三、本年度办理结果</w:t>
            </w:r>
          </w:p>
        </w:tc>
        <w:tc>
          <w:tcPr>
            <w:tcW w:w="306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（一）予以公开</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306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（二）部分公开（区分处理的，只计这一情形，不计其他情形）</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65"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（三）</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不予公开</w:t>
            </w: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1．属于国家秘密</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2．其他法律行政法规禁止公开</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3．危及“三安全一稳定”</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4．保护第三方合法权益</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5．属于三类内部事务信息</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6．属于四类过程性信息</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7．属于行政执法案卷</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8．属于行政查询事项</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（四）</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无法提供</w:t>
            </w: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1．本机关不掌握相关政府信息</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2．没有现成信息需要另行制作</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5"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3．补正后申请内容仍不明确</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（五）</w:t>
            </w:r>
          </w:p>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不予处理</w:t>
            </w: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1．信访举报投诉类申请</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2．重复申请</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3．要求提供公开出版物</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4．无正当理由大量反复申请</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10" w:hRule="atLeast"/>
          <w:jc w:val="center"/>
        </w:trPr>
        <w:tc>
          <w:tcPr>
            <w:tcW w:w="48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9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216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autoSpaceDE w:val="0"/>
              <w:autoSpaceDN/>
              <w:spacing w:line="300" w:lineRule="atLeast"/>
              <w:ind w:left="210" w:hanging="210"/>
              <w:jc w:val="center"/>
            </w:pPr>
            <w:r>
              <w:rPr>
                <w:rFonts w:hint="eastAsia" w:ascii="微软雅黑" w:hAnsi="微软雅黑" w:eastAsia="微软雅黑" w:cs="微软雅黑"/>
                <w:sz w:val="24"/>
                <w:szCs w:val="24"/>
              </w:rPr>
              <w:t>5．要求行政机关确认或重新出具已获取信息</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35" w:hRule="atLeast"/>
          <w:jc w:val="center"/>
        </w:trPr>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306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（六）其他处理</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c>
          <w:tcPr>
            <w:tcW w:w="3060"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（七）总计</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50" w:hRule="atLeast"/>
          <w:jc w:val="center"/>
        </w:trPr>
        <w:tc>
          <w:tcPr>
            <w:tcW w:w="3540"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四、结转下年度继续办理</w:t>
            </w:r>
          </w:p>
        </w:tc>
        <w:tc>
          <w:tcPr>
            <w:tcW w:w="39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48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c>
          <w:tcPr>
            <w:tcW w:w="57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0</w:t>
            </w:r>
          </w:p>
        </w:tc>
      </w:tr>
    </w:tbl>
    <w:p>
      <w:pPr>
        <w:pStyle w:val="2"/>
        <w:keepNext w:val="0"/>
        <w:keepLines w:val="0"/>
        <w:widowControl/>
        <w:suppressLineNumbers w:val="0"/>
      </w:pPr>
      <w:r>
        <w:rPr>
          <w:rFonts w:hint="eastAsia" w:ascii="微软雅黑" w:hAnsi="微软雅黑" w:eastAsia="微软雅黑" w:cs="微软雅黑"/>
          <w:sz w:val="24"/>
          <w:szCs w:val="24"/>
        </w:rPr>
        <w:t>四、政府信息公开行政复议、行政诉讼情况</w:t>
      </w:r>
    </w:p>
    <w:tbl>
      <w:tblPr>
        <w:tblW w:w="96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64"/>
        <w:gridCol w:w="663"/>
        <w:gridCol w:w="665"/>
        <w:gridCol w:w="641"/>
        <w:gridCol w:w="561"/>
        <w:gridCol w:w="665"/>
        <w:gridCol w:w="665"/>
        <w:gridCol w:w="665"/>
        <w:gridCol w:w="664"/>
        <w:gridCol w:w="538"/>
        <w:gridCol w:w="793"/>
        <w:gridCol w:w="612"/>
        <w:gridCol w:w="719"/>
        <w:gridCol w:w="666"/>
        <w:gridCol w:w="45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jc w:val="center"/>
        </w:trPr>
        <w:tc>
          <w:tcPr>
            <w:tcW w:w="3211"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行政复议</w:t>
            </w:r>
          </w:p>
        </w:tc>
        <w:tc>
          <w:tcPr>
            <w:tcW w:w="6427" w:type="dxa"/>
            <w:gridSpan w:val="10"/>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3" w:hRule="atLeast"/>
          <w:jc w:val="center"/>
        </w:trPr>
        <w:tc>
          <w:tcPr>
            <w:tcW w:w="66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结果维持</w:t>
            </w:r>
          </w:p>
        </w:tc>
        <w:tc>
          <w:tcPr>
            <w:tcW w:w="66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结果纠正</w:t>
            </w:r>
          </w:p>
        </w:tc>
        <w:tc>
          <w:tcPr>
            <w:tcW w:w="669"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其他结果</w:t>
            </w:r>
          </w:p>
        </w:tc>
        <w:tc>
          <w:tcPr>
            <w:tcW w:w="644"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尚未审结</w:t>
            </w:r>
          </w:p>
        </w:tc>
        <w:tc>
          <w:tcPr>
            <w:tcW w:w="563"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c>
          <w:tcPr>
            <w:tcW w:w="3214"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未经复议直接起诉</w:t>
            </w:r>
          </w:p>
        </w:tc>
        <w:tc>
          <w:tcPr>
            <w:tcW w:w="3213"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66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6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69"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44"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563"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结果维持</w:t>
            </w: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结果纠正</w:t>
            </w:r>
          </w:p>
        </w:tc>
        <w:tc>
          <w:tcPr>
            <w:tcW w:w="6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其他结果</w:t>
            </w:r>
          </w:p>
        </w:tc>
        <w:tc>
          <w:tcPr>
            <w:tcW w:w="66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尚未审结</w:t>
            </w:r>
          </w:p>
        </w:tc>
        <w:tc>
          <w:tcPr>
            <w:tcW w:w="53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c>
          <w:tcPr>
            <w:tcW w:w="79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结果维持</w:t>
            </w:r>
          </w:p>
        </w:tc>
        <w:tc>
          <w:tcPr>
            <w:tcW w:w="61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结果纠正</w:t>
            </w:r>
          </w:p>
        </w:tc>
        <w:tc>
          <w:tcPr>
            <w:tcW w:w="722"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其他结果</w:t>
            </w:r>
          </w:p>
        </w:tc>
        <w:tc>
          <w:tcPr>
            <w:tcW w:w="669"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尚未审结</w:t>
            </w:r>
          </w:p>
        </w:tc>
        <w:tc>
          <w:tcPr>
            <w:tcW w:w="40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jc w:val="center"/>
            </w:pPr>
            <w:r>
              <w:rPr>
                <w:rFonts w:hint="eastAsia" w:ascii="微软雅黑" w:hAnsi="微软雅黑" w:eastAsia="微软雅黑" w:cs="微软雅黑"/>
                <w:sz w:val="24"/>
                <w:szCs w:val="24"/>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75" w:hRule="atLeast"/>
          <w:jc w:val="center"/>
        </w:trPr>
        <w:tc>
          <w:tcPr>
            <w:tcW w:w="6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7"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4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5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53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79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1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7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669"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c>
          <w:tcPr>
            <w:tcW w:w="40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0</w:t>
            </w:r>
          </w:p>
        </w:tc>
      </w:tr>
    </w:tbl>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五、存在的主要问题和改进措施</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2023年，高新技术产业开发区市场监督管理局在加强政府信息公开工作方面扎实稳步推进，取得一定成效，但还存在一些问题和不足，主要有：一是信息公开形式不够丰富，主要通过文字形式，采取图文、视频等形式公开的内容还不多。二是</w:t>
      </w:r>
      <w:r>
        <w:rPr>
          <w:rFonts w:hint="eastAsia" w:ascii="微软雅黑" w:hAnsi="微软雅黑" w:eastAsia="微软雅黑" w:cs="微软雅黑"/>
          <w:caps w:val="0"/>
          <w:color w:val="000000"/>
          <w:spacing w:val="0"/>
          <w:sz w:val="24"/>
          <w:szCs w:val="24"/>
          <w:shd w:val="clear" w:fill="FFFFFF"/>
        </w:rPr>
        <w:t>机制运转不够顺畅，信息发布存在不及时、不全面、不准确等情况，信息公开质量有待进一步提升。三是政府信息管理方面有待加强，不能及时的</w:t>
      </w:r>
      <w:r>
        <w:rPr>
          <w:rFonts w:hint="eastAsia" w:ascii="微软雅黑" w:hAnsi="微软雅黑" w:eastAsia="微软雅黑" w:cs="微软雅黑"/>
          <w:sz w:val="24"/>
          <w:szCs w:val="24"/>
        </w:rPr>
        <w:t>对已公布的政府信息标注有效、失效情况。</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针对存在的问题，采取了以下措施进行改进：</w:t>
      </w:r>
      <w:r>
        <w:rPr>
          <w:rFonts w:hint="eastAsia" w:ascii="微软雅黑" w:hAnsi="微软雅黑" w:eastAsia="微软雅黑" w:cs="微软雅黑"/>
          <w:caps w:val="0"/>
          <w:color w:val="000000"/>
          <w:spacing w:val="0"/>
          <w:sz w:val="24"/>
          <w:szCs w:val="24"/>
          <w:shd w:val="clear" w:fill="FFFFFF"/>
        </w:rPr>
        <w:t>一是完善工作机制。进一步完善政务公开工作制度，明确工作职责、细化责任分工、优化工作流程，实现机制运行更高效、更科学。二是开展自查自纠。建立巡查自查制度，强化政务信息发布审核把关，对上传不及时、表述不准确等问题及时通知责任人改正，确保网站和政务新媒体发布内容规范、准确，切实提高信息发布质量。三是加强业务培训。加强政务信息公开方面的学习培训，以政务公开考核为抓手，倒逼各科室增进业务能力，有效提升部门政府信息公开水平</w:t>
      </w:r>
      <w:r>
        <w:rPr>
          <w:rFonts w:hint="eastAsia" w:ascii="微软雅黑" w:hAnsi="微软雅黑" w:eastAsia="微软雅黑" w:cs="微软雅黑"/>
          <w:sz w:val="24"/>
          <w:szCs w:val="24"/>
        </w:rPr>
        <w:t>。</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六、其他需要报告的事项</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1.本年度依申请公开，未收取任何信息处理费。</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2.本年度没有建议提案办理事项。</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3.政务公开创新情况。在“淄博高新市场监管”微信公众号，持续打造升级版全领域“红黑榜”，年内发布36期。</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4.政务公开工作方案落实情况。认真贯彻政务公开工作方案要求，完善信息公开工作制度，强化政府信息规范化管理，做好政府信息公开平台栏目维护。加强重点领域信息公开，及时上传“双随机、一公开”、食品药品安全监管等栏目信息，做好行政执法相关制度、标准和执法结果的公示。加强政策文件精准解读，创新政策解读方式，提升解读的多样性。积极开展政务信息公开宣传，营造良好社会氛围。</w:t>
      </w:r>
    </w:p>
    <w:p>
      <w:pPr>
        <w:pStyle w:val="2"/>
        <w:keepNext w:val="0"/>
        <w:keepLines w:val="0"/>
        <w:widowControl/>
        <w:suppressLineNumbers w:val="0"/>
        <w:autoSpaceDE w:val="0"/>
        <w:autoSpaceDN/>
        <w:spacing w:line="560"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560" w:lineRule="atLeast"/>
        <w:ind w:left="0" w:firstLine="640"/>
        <w:jc w:val="right"/>
      </w:pPr>
      <w:r>
        <w:rPr>
          <w:rFonts w:hint="eastAsia" w:ascii="微软雅黑" w:hAnsi="微软雅黑" w:eastAsia="微软雅黑" w:cs="微软雅黑"/>
          <w:sz w:val="24"/>
          <w:szCs w:val="24"/>
        </w:rPr>
        <w:t>           淄博高新技术产业开发区市场监督管理局</w:t>
      </w:r>
    </w:p>
    <w:p>
      <w:pPr>
        <w:pStyle w:val="2"/>
        <w:keepNext w:val="0"/>
        <w:keepLines w:val="0"/>
        <w:widowControl/>
        <w:suppressLineNumbers w:val="0"/>
        <w:spacing w:line="560" w:lineRule="atLeast"/>
        <w:ind w:left="5118" w:hanging="4480"/>
        <w:jc w:val="right"/>
      </w:pPr>
      <w:r>
        <w:rPr>
          <w:rFonts w:hint="eastAsia" w:ascii="微软雅黑" w:hAnsi="微软雅黑" w:eastAsia="微软雅黑" w:cs="微软雅黑"/>
          <w:sz w:val="24"/>
          <w:szCs w:val="24"/>
        </w:rPr>
        <w:t>                          2024年1月19日</w:t>
      </w:r>
    </w:p>
    <w:p>
      <w:pPr>
        <w:pStyle w:val="2"/>
        <w:keepNext w:val="0"/>
        <w:keepLines w:val="0"/>
        <w:widowControl/>
        <w:suppressLineNumbers w:val="0"/>
        <w:autoSpaceDE w:val="0"/>
        <w:autoSpaceDN/>
        <w:spacing w:line="56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mYWQyMWJkYzU4ZjdkMGNiZjNmYWVhNTE1Zjc0ZjcifQ=="/>
  </w:docVars>
  <w:rsids>
    <w:rsidRoot w:val="301200CD"/>
    <w:rsid w:val="25B367D0"/>
    <w:rsid w:val="301200CD"/>
    <w:rsid w:val="4E582681"/>
    <w:rsid w:val="6C58250B"/>
    <w:rsid w:val="6F2F7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1900</Words>
  <Characters>2011</Characters>
  <Lines>0</Lines>
  <Paragraphs>0</Paragraphs>
  <TotalTime>120</TotalTime>
  <ScaleCrop>false</ScaleCrop>
  <LinksUpToDate>false</LinksUpToDate>
  <CharactersWithSpaces>2129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2024-01-31T03:37:00Z</dcterms:created>
  <dc:creator>Administrator</dc:creator>
  <cp:lastModifiedBy>Administrator</cp:lastModifiedBy>
  <dcterms:modified xsi:type="dcterms:W3CDTF">2024-01-31T05:40:12Z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B0A65CFFC27C40EE896C8D029E264F16_13</vt:lpwstr>
  </property>
</Properties>
</file>