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hint="eastAsia" w:ascii="仿宋_GB2312" w:eastAsia="仿宋_GB2312" w:cs="仿宋_GB2312"/>
          <w:b/>
          <w:bCs/>
          <w:color w:val="000000"/>
          <w:sz w:val="40"/>
          <w:szCs w:val="40"/>
          <w:shd w:val="clear" w:fill="FFFFFF"/>
          <w:lang w:eastAsia="zh-CN"/>
        </w:rPr>
      </w:pPr>
      <w:bookmarkStart w:id="0" w:name="_GoBack"/>
      <w:r>
        <w:rPr>
          <w:rFonts w:hint="eastAsia" w:ascii="仿宋_GB2312" w:eastAsia="仿宋_GB2312" w:cs="仿宋_GB2312"/>
          <w:b/>
          <w:bCs/>
          <w:color w:val="000000"/>
          <w:sz w:val="40"/>
          <w:szCs w:val="40"/>
          <w:shd w:val="clear" w:fill="FFFFFF"/>
          <w:lang w:eastAsia="zh-CN"/>
        </w:rPr>
        <w:t>淄博高新技术产业开发区人力资源和社会保障中心2023年政府信息公开工作年度报告</w:t>
      </w:r>
    </w:p>
    <w:bookmarkEnd w:id="0"/>
    <w:p>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eastAsia" w:ascii="仿宋_GB2312" w:eastAsia="仿宋_GB2312" w:cs="仿宋_GB2312"/>
          <w:b/>
          <w:bCs/>
          <w:color w:val="000000"/>
          <w:sz w:val="40"/>
          <w:szCs w:val="40"/>
          <w:shd w:val="clear" w:fill="FFFFFF"/>
          <w:lang w:eastAsia="zh-CN"/>
        </w:rPr>
      </w:pPr>
    </w:p>
    <w:p>
      <w:pPr>
        <w:pStyle w:val="2"/>
        <w:keepNext w:val="0"/>
        <w:keepLines w:val="0"/>
        <w:widowControl/>
        <w:suppressLineNumbers w:val="0"/>
        <w:autoSpaceDE w:val="0"/>
        <w:autoSpaceDN/>
        <w:spacing w:before="0" w:beforeAutospacing="0" w:after="0" w:afterAutospacing="0" w:line="560" w:lineRule="atLeast"/>
        <w:ind w:left="0" w:right="0" w:firstLine="640"/>
        <w:jc w:val="both"/>
      </w:pPr>
      <w:r>
        <w:rPr>
          <w:rFonts w:ascii="仿宋_GB2312" w:eastAsia="仿宋_GB2312" w:cs="仿宋_GB2312"/>
          <w:color w:val="000000"/>
          <w:sz w:val="32"/>
          <w:szCs w:val="32"/>
          <w:shd w:val="clear" w:fill="FFFFFF"/>
        </w:rPr>
        <w:t>本</w:t>
      </w:r>
      <w:r>
        <w:rPr>
          <w:rFonts w:hint="eastAsia" w:ascii="仿宋_GB2312" w:eastAsia="仿宋_GB2312" w:cs="仿宋_GB2312"/>
          <w:color w:val="000000"/>
          <w:sz w:val="32"/>
          <w:szCs w:val="32"/>
          <w:shd w:val="clear" w:fill="FFFFFF"/>
        </w:rPr>
        <w:t>年度报告中所列数据的统计期限为2023年1月1日至12月31日。</w:t>
      </w:r>
      <w:r>
        <w:rPr>
          <w:rFonts w:hint="eastAsia" w:ascii="仿宋_GB2312" w:eastAsia="仿宋_GB2312" w:cs="仿宋_GB2312"/>
          <w:spacing w:val="0"/>
          <w:sz w:val="32"/>
          <w:szCs w:val="32"/>
          <w:shd w:val="clear" w:fill="FFFFFF"/>
        </w:rPr>
        <w:t>如对本报告有任何疑问，请与淄博高新区人社中心联系（地址：淄博高新区柳泉路111号创业火炬广场B座209，联系电话：0533-3590857,邮箱：gxqrszx@zb.shandong.cn,邮编：255035）。</w:t>
      </w:r>
    </w:p>
    <w:p>
      <w:pPr>
        <w:pStyle w:val="2"/>
        <w:keepNext w:val="0"/>
        <w:keepLines w:val="0"/>
        <w:widowControl/>
        <w:suppressLineNumbers w:val="0"/>
        <w:autoSpaceDE w:val="0"/>
        <w:autoSpaceDN/>
        <w:spacing w:line="560" w:lineRule="atLeast"/>
        <w:ind w:left="0" w:firstLine="640"/>
        <w:jc w:val="left"/>
      </w:pPr>
      <w:r>
        <w:rPr>
          <w:rFonts w:ascii="黑体" w:hAnsi="宋体" w:eastAsia="黑体" w:cs="黑体"/>
          <w:color w:val="000000"/>
          <w:sz w:val="32"/>
          <w:szCs w:val="32"/>
          <w:shd w:val="clear" w:fill="FFFFFF"/>
        </w:rPr>
        <w:t>一、总体情况</w:t>
      </w:r>
    </w:p>
    <w:p>
      <w:pPr>
        <w:pStyle w:val="2"/>
        <w:keepNext w:val="0"/>
        <w:keepLines w:val="0"/>
        <w:widowControl/>
        <w:suppressLineNumbers w:val="0"/>
        <w:autoSpaceDE w:val="0"/>
        <w:autoSpaceDN/>
        <w:spacing w:line="560" w:lineRule="atLeast"/>
        <w:ind w:left="0" w:firstLine="640"/>
        <w:jc w:val="both"/>
      </w:pPr>
      <w:r>
        <w:rPr>
          <w:rFonts w:hint="eastAsia" w:ascii="仿宋_GB2312" w:eastAsia="仿宋_GB2312" w:cs="仿宋_GB2312"/>
          <w:sz w:val="32"/>
          <w:szCs w:val="32"/>
        </w:rPr>
        <w:t>2023年高新区人社中心全面贯彻落实党的二十大精神，深入学习习近平总书记关于社会保障工作的重要讲话和重要批示指示精神，按照国家、省市关于全面推进政务公开工作的决策部署，围绕</w:t>
      </w:r>
      <w:r>
        <w:rPr>
          <w:rFonts w:hint="eastAsia" w:ascii="仿宋_GB2312" w:eastAsia="仿宋_GB2312" w:cs="仿宋_GB2312"/>
          <w:color w:val="000000"/>
          <w:sz w:val="32"/>
          <w:szCs w:val="32"/>
          <w:shd w:val="clear" w:fill="FFFFFF"/>
        </w:rPr>
        <w:t>人力资源和社会保障重点工作，坚持规范创新，聚焦便民利民，以更高站位、更实举措、更严要求全面深化政务公开。</w:t>
      </w:r>
    </w:p>
    <w:p>
      <w:pPr>
        <w:pStyle w:val="2"/>
        <w:keepNext w:val="0"/>
        <w:keepLines w:val="0"/>
        <w:widowControl/>
        <w:suppressLineNumbers w:val="0"/>
        <w:autoSpaceDE w:val="0"/>
        <w:autoSpaceDN/>
        <w:spacing w:line="560" w:lineRule="atLeast"/>
        <w:ind w:left="0" w:firstLine="640"/>
        <w:jc w:val="both"/>
      </w:pPr>
      <w:r>
        <w:rPr>
          <w:rFonts w:hint="eastAsia" w:ascii="仿宋_GB2312" w:eastAsia="仿宋_GB2312" w:cs="仿宋_GB2312"/>
          <w:color w:val="000000"/>
          <w:sz w:val="32"/>
          <w:szCs w:val="32"/>
          <w:shd w:val="clear" w:fill="FFFFFF"/>
        </w:rPr>
        <w:t>1.主动公开方面</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严格按照《中华人民共和国政府信息公开条例》主动公开本部门信息，并按照上级部门要求完成公开指南、机构职能职责、领导分工、内设机构等。2023年高新区人社中心通过政府网站、政府信息公开网站、微信公众号等方式主动公开政府信息660余篇，包含社会保险、就业创业、劳动保障、职称评定、劳动仲裁等人社各个领域。</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2.依申请公开工作方面</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截至2023年12月31日，高新区人社中心未收到政府信息公开申请，</w:t>
      </w:r>
      <w:r>
        <w:rPr>
          <w:rFonts w:ascii="微软雅黑" w:hAnsi="微软雅黑" w:eastAsia="微软雅黑" w:cs="微软雅黑"/>
          <w:i w:val="0"/>
          <w:iCs w:val="0"/>
          <w:caps w:val="0"/>
          <w:color w:val="000000"/>
          <w:spacing w:val="0"/>
          <w:sz w:val="24"/>
          <w:szCs w:val="24"/>
          <w:bdr w:val="none" w:color="auto" w:sz="0" w:space="0"/>
          <w:shd w:val="clear" w:fill="FFFFFF"/>
        </w:rPr>
        <w:t>未收到因信息公开引发的行政复议和行政诉讼</w:t>
      </w:r>
      <w:r>
        <w:rPr>
          <w:rFonts w:hint="eastAsia" w:ascii="仿宋_GB2312" w:eastAsia="仿宋_GB2312" w:cs="仿宋_GB2312"/>
          <w:color w:val="000000"/>
          <w:sz w:val="32"/>
          <w:szCs w:val="32"/>
          <w:shd w:val="clear" w:fill="FFFFFF"/>
        </w:rPr>
        <w:t>。</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3. 政府信息管理方面</w:t>
      </w:r>
    </w:p>
    <w:p>
      <w:pPr>
        <w:pStyle w:val="2"/>
        <w:keepNext w:val="0"/>
        <w:keepLines w:val="0"/>
        <w:widowControl/>
        <w:suppressLineNumbers w:val="0"/>
        <w:autoSpaceDE w:val="0"/>
        <w:autoSpaceDN/>
        <w:spacing w:line="560" w:lineRule="atLeast"/>
        <w:ind w:left="0" w:right="0" w:firstLine="640"/>
        <w:jc w:val="left"/>
      </w:pPr>
      <w:r>
        <w:rPr>
          <w:rFonts w:hint="eastAsia" w:ascii="仿宋_GB2312" w:eastAsia="仿宋_GB2312" w:cs="仿宋_GB2312"/>
          <w:color w:val="000000"/>
          <w:sz w:val="32"/>
          <w:szCs w:val="32"/>
          <w:shd w:val="clear" w:fill="FFFFFF"/>
        </w:rPr>
        <w:t>高新区人社中心认真落实《中华人民共和国政府信息公开条例》，动态更新政府信息主动公开目录，明确全年重点工作和责任分工，对拟公开的政府信息依法依规做好保密审查，确实做到“涉密信息不上网，上网信息不涉密”；确定专人管理门户网站、微信公众号，加强政务信息发布、表达和回应，保障信息公开的时效性。</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4.平台建设方面</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sz w:val="32"/>
          <w:szCs w:val="32"/>
        </w:rPr>
        <w:t>高新区人社中心开设政务新媒体2个，均为微信订阅号，订阅号名称为“淄博高新人社”和“淄博高新区公共就业与人才服务”。“淄博高新人社”微信公众号于2016年12月开通，共计发布各类信息270篇，总用户数12279人；“淄博高新区公共就业与人才服务”微信公众号于2021年8月开通，共计发布各类信息182篇，总用户数18432人。优化完善政府信息公开栏目，确保公开内容准确无误，提高政府信息公开标准化、规范化水平。</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5.监督保障方面</w:t>
      </w:r>
    </w:p>
    <w:p>
      <w:pPr>
        <w:pStyle w:val="2"/>
        <w:keepNext w:val="0"/>
        <w:keepLines w:val="0"/>
        <w:widowControl/>
        <w:suppressLineNumbers w:val="0"/>
        <w:autoSpaceDE w:val="0"/>
        <w:autoSpaceDN/>
        <w:spacing w:line="560" w:lineRule="atLeast"/>
        <w:ind w:left="0" w:firstLine="640"/>
        <w:jc w:val="left"/>
      </w:pPr>
      <w:r>
        <w:rPr>
          <w:rFonts w:hint="eastAsia" w:ascii="仿宋_GB2312" w:eastAsia="仿宋_GB2312" w:cs="仿宋_GB2312"/>
          <w:color w:val="000000"/>
          <w:sz w:val="32"/>
          <w:szCs w:val="32"/>
          <w:shd w:val="clear" w:fill="FFFFFF"/>
        </w:rPr>
        <w:t>加强政务公开组织领导，不断调整充实政务公开工作领导小组，形成主要负责同志任组长，分管领导任副组长，各相关科室负责人为成员的工作格局。安排专人负责政务公开信息的对接、收集、整理、公开，确保政务公开工作有序开展。2023年不存在因政务公开导致的投诉、举报或其他责任追究的情况。</w:t>
      </w:r>
    </w:p>
    <w:p>
      <w:pPr>
        <w:pStyle w:val="2"/>
        <w:keepNext w:val="0"/>
        <w:keepLines w:val="0"/>
        <w:widowControl/>
        <w:suppressLineNumbers w:val="0"/>
        <w:autoSpaceDE w:val="0"/>
        <w:autoSpaceDN/>
        <w:spacing w:line="560" w:lineRule="atLeast"/>
        <w:ind w:left="0" w:firstLine="640"/>
        <w:jc w:val="left"/>
      </w:pPr>
      <w:r>
        <w:rPr>
          <w:rFonts w:hint="eastAsia" w:ascii="黑体" w:hAnsi="宋体" w:eastAsia="黑体" w:cs="黑体"/>
          <w:sz w:val="32"/>
          <w:szCs w:val="32"/>
        </w:rPr>
        <w:t>二、主动公开政府信息情况</w:t>
      </w:r>
    </w:p>
    <w:tbl>
      <w:tblPr>
        <w:tblW w:w="93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84"/>
        <w:gridCol w:w="1897"/>
        <w:gridCol w:w="1939"/>
        <w:gridCol w:w="34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9355"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189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本年制发件数</w:t>
            </w:r>
          </w:p>
        </w:tc>
        <w:tc>
          <w:tcPr>
            <w:tcW w:w="193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本年废止件数</w:t>
            </w:r>
          </w:p>
        </w:tc>
        <w:tc>
          <w:tcPr>
            <w:tcW w:w="34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规章</w:t>
            </w:r>
          </w:p>
        </w:tc>
        <w:tc>
          <w:tcPr>
            <w:tcW w:w="18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ascii="Calibri" w:hAnsi="Calibri" w:cs="Calibri"/>
                <w:sz w:val="24"/>
                <w:szCs w:val="24"/>
                <w:bdr w:val="none" w:color="auto" w:sz="0" w:space="0"/>
              </w:rPr>
              <w:t>0</w:t>
            </w:r>
          </w:p>
        </w:tc>
        <w:tc>
          <w:tcPr>
            <w:tcW w:w="19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行政规范性文件</w:t>
            </w:r>
          </w:p>
        </w:tc>
        <w:tc>
          <w:tcPr>
            <w:tcW w:w="18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eastAsia="宋体" w:cs="Calibri"/>
                <w:sz w:val="24"/>
                <w:szCs w:val="24"/>
                <w:bdr w:val="none" w:color="auto" w:sz="0" w:space="0"/>
              </w:rPr>
              <w:t>0</w:t>
            </w:r>
          </w:p>
        </w:tc>
        <w:tc>
          <w:tcPr>
            <w:tcW w:w="19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eastAsia="宋体" w:cs="Calibri"/>
                <w:sz w:val="24"/>
                <w:szCs w:val="24"/>
                <w:bdr w:val="none" w:color="auto" w:sz="0" w:space="0"/>
              </w:rPr>
              <w:t>0</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eastAsia="宋体" w:cs="Calibri"/>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935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727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行政许可</w:t>
            </w:r>
          </w:p>
        </w:tc>
        <w:tc>
          <w:tcPr>
            <w:tcW w:w="727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935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727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行政处罚</w:t>
            </w:r>
          </w:p>
        </w:tc>
        <w:tc>
          <w:tcPr>
            <w:tcW w:w="727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行政强制</w:t>
            </w:r>
          </w:p>
        </w:tc>
        <w:tc>
          <w:tcPr>
            <w:tcW w:w="727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935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727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0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行政事业性收费</w:t>
            </w:r>
          </w:p>
        </w:tc>
        <w:tc>
          <w:tcPr>
            <w:tcW w:w="727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4"/>
                <w:szCs w:val="24"/>
                <w:bdr w:val="none" w:color="auto" w:sz="0" w:space="0"/>
              </w:rPr>
              <w:t>0</w:t>
            </w:r>
          </w:p>
        </w:tc>
      </w:tr>
    </w:tbl>
    <w:p>
      <w:pPr>
        <w:pStyle w:val="2"/>
        <w:keepNext w:val="0"/>
        <w:keepLines w:val="0"/>
        <w:widowControl/>
        <w:suppressLineNumbers w:val="0"/>
        <w:autoSpaceDE w:val="0"/>
        <w:autoSpaceDN/>
        <w:spacing w:line="560" w:lineRule="atLeast"/>
        <w:jc w:val="left"/>
      </w:pPr>
      <w:r>
        <w:rPr>
          <w:rFonts w:hint="eastAsia" w:ascii="黑体" w:hAnsi="宋体" w:eastAsia="黑体" w:cs="黑体"/>
          <w:sz w:val="32"/>
          <w:szCs w:val="32"/>
        </w:rPr>
        <w:t> </w:t>
      </w:r>
    </w:p>
    <w:p>
      <w:pPr>
        <w:pStyle w:val="2"/>
        <w:keepNext w:val="0"/>
        <w:keepLines w:val="0"/>
        <w:widowControl/>
        <w:suppressLineNumbers w:val="0"/>
        <w:autoSpaceDE w:val="0"/>
        <w:autoSpaceDN/>
        <w:spacing w:line="560" w:lineRule="atLeast"/>
        <w:ind w:left="0" w:firstLine="640"/>
        <w:jc w:val="left"/>
      </w:pPr>
      <w:r>
        <w:rPr>
          <w:rFonts w:hint="eastAsia" w:ascii="黑体" w:hAnsi="宋体" w:eastAsia="黑体" w:cs="黑体"/>
          <w:sz w:val="32"/>
          <w:szCs w:val="32"/>
        </w:rPr>
        <w:t>三、收到和处理政府信息公开申请情况</w:t>
      </w:r>
    </w:p>
    <w:tbl>
      <w:tblPr>
        <w:tblW w:w="97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6"/>
        <w:gridCol w:w="1072"/>
        <w:gridCol w:w="2144"/>
        <w:gridCol w:w="486"/>
        <w:gridCol w:w="566"/>
        <w:gridCol w:w="566"/>
        <w:gridCol w:w="565"/>
        <w:gridCol w:w="564"/>
        <w:gridCol w:w="1374"/>
        <w:gridCol w:w="1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3927"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（本列数据的勾稽关系为：第一项加第二项之和，等于第三项加第四项之和）</w:t>
            </w:r>
          </w:p>
        </w:tc>
        <w:tc>
          <w:tcPr>
            <w:tcW w:w="5304"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392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自然人</w:t>
            </w:r>
          </w:p>
        </w:tc>
        <w:tc>
          <w:tcPr>
            <w:tcW w:w="382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法人或其他组织</w:t>
            </w:r>
          </w:p>
        </w:tc>
        <w:tc>
          <w:tcPr>
            <w:tcW w:w="52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392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商业企业</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科研机构</w:t>
            </w:r>
          </w:p>
        </w:tc>
        <w:tc>
          <w:tcPr>
            <w:tcW w:w="5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社会公益组织</w:t>
            </w:r>
          </w:p>
        </w:tc>
        <w:tc>
          <w:tcPr>
            <w:tcW w:w="5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法律服务机构</w:t>
            </w:r>
          </w:p>
        </w:tc>
        <w:tc>
          <w:tcPr>
            <w:tcW w:w="5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其他</w:t>
            </w:r>
          </w:p>
        </w:tc>
        <w:tc>
          <w:tcPr>
            <w:tcW w:w="52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393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一、本年新收政府信息公开申请数量</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二、上年结转政府信息公开申请数量</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7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三、本年度办理结果</w:t>
            </w:r>
          </w:p>
        </w:tc>
        <w:tc>
          <w:tcPr>
            <w:tcW w:w="321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（一）予以公开</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21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（二）部分公开（区分处理的，只计这一情形，不计其他情形）</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（三）不予公开</w:t>
            </w:r>
          </w:p>
        </w:tc>
        <w:tc>
          <w:tcPr>
            <w:tcW w:w="18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1．属于国家秘密</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2．其他法律行政法规禁止公开</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3．危及“三安全一稳定”</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4．保护第三方合法权益</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5．属于三类内部事务信息</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6．属于四类过程性信息</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7．属于行政执法案卷</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8．属于行政查询事项</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（四）无法提供</w:t>
            </w: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1．本机关不掌握相关政府信息</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2．没有现成信息需要另行制作</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3．补正后申请内容仍不明确</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（五）不予处理</w:t>
            </w: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1．信访举报投诉类申请</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2．重复申请</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3．要求提供公开出版物</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4．无正当理由大量反复申请</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47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180" w:hanging="180"/>
            </w:pPr>
            <w:r>
              <w:rPr>
                <w:rFonts w:hint="eastAsia" w:ascii="宋体" w:hAnsi="宋体" w:eastAsia="宋体" w:cs="宋体"/>
                <w:sz w:val="18"/>
                <w:szCs w:val="18"/>
              </w:rPr>
              <w:t>5．要求行政机关确认或重新出具已获取信息</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4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default" w:ascii="Calibri" w:hAnsi="Calibri" w:cs="Calibri"/>
                <w:sz w:val="21"/>
                <w:szCs w:val="21"/>
                <w:bdr w:val="none" w:color="auto" w:sz="0" w:space="0"/>
              </w:rPr>
              <w:t> </w:t>
            </w:r>
          </w:p>
        </w:tc>
        <w:tc>
          <w:tcPr>
            <w:tcW w:w="321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（六）其他处理</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default" w:ascii="Calibri" w:hAnsi="Calibri" w:cs="Calibri"/>
                <w:sz w:val="21"/>
                <w:szCs w:val="21"/>
                <w:bdr w:val="none" w:color="auto" w:sz="0" w:space="0"/>
              </w:rPr>
              <w:t> </w:t>
            </w:r>
          </w:p>
        </w:tc>
        <w:tc>
          <w:tcPr>
            <w:tcW w:w="321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（七）总计</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eastAsia="宋体" w:cs="Calibri"/>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393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四、结转下年度继续办理</w:t>
            </w:r>
          </w:p>
        </w:tc>
        <w:tc>
          <w:tcPr>
            <w:tcW w:w="4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r>
    </w:tbl>
    <w:p>
      <w:pPr>
        <w:pStyle w:val="2"/>
        <w:keepNext w:val="0"/>
        <w:keepLines w:val="0"/>
        <w:widowControl/>
        <w:suppressLineNumbers w:val="0"/>
        <w:autoSpaceDE w:val="0"/>
        <w:autoSpaceDN/>
        <w:spacing w:line="560" w:lineRule="atLeast"/>
        <w:ind w:left="0" w:firstLine="640"/>
        <w:jc w:val="left"/>
      </w:pPr>
      <w:r>
        <w:rPr>
          <w:rFonts w:hint="eastAsia" w:ascii="黑体" w:hAnsi="宋体" w:eastAsia="黑体" w:cs="黑体"/>
          <w:sz w:val="32"/>
          <w:szCs w:val="32"/>
        </w:rPr>
        <w:t>四、政府信息公开行政复议、行政诉讼情况</w:t>
      </w:r>
    </w:p>
    <w:tbl>
      <w:tblPr>
        <w:tblW w:w="94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6"/>
        <w:gridCol w:w="573"/>
        <w:gridCol w:w="573"/>
        <w:gridCol w:w="559"/>
        <w:gridCol w:w="513"/>
        <w:gridCol w:w="573"/>
        <w:gridCol w:w="573"/>
        <w:gridCol w:w="573"/>
        <w:gridCol w:w="573"/>
        <w:gridCol w:w="500"/>
        <w:gridCol w:w="647"/>
        <w:gridCol w:w="542"/>
        <w:gridCol w:w="603"/>
        <w:gridCol w:w="573"/>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jc w:val="center"/>
        </w:trPr>
        <w:tc>
          <w:tcPr>
            <w:tcW w:w="264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行政复议</w:t>
            </w:r>
          </w:p>
        </w:tc>
        <w:tc>
          <w:tcPr>
            <w:tcW w:w="677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42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结果维持</w:t>
            </w:r>
          </w:p>
        </w:tc>
        <w:tc>
          <w:tcPr>
            <w:tcW w:w="57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结果纠正</w:t>
            </w:r>
          </w:p>
        </w:tc>
        <w:tc>
          <w:tcPr>
            <w:tcW w:w="57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其他结果</w:t>
            </w:r>
          </w:p>
        </w:tc>
        <w:tc>
          <w:tcPr>
            <w:tcW w:w="55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尚未审结</w:t>
            </w:r>
          </w:p>
        </w:tc>
        <w:tc>
          <w:tcPr>
            <w:tcW w:w="51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总计</w:t>
            </w:r>
          </w:p>
        </w:tc>
        <w:tc>
          <w:tcPr>
            <w:tcW w:w="279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未经复议直接起诉</w:t>
            </w:r>
          </w:p>
        </w:tc>
        <w:tc>
          <w:tcPr>
            <w:tcW w:w="398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1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结果维持</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结果纠正</w:t>
            </w:r>
          </w:p>
        </w:tc>
        <w:tc>
          <w:tcPr>
            <w:tcW w:w="5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其他结果</w:t>
            </w:r>
          </w:p>
        </w:tc>
        <w:tc>
          <w:tcPr>
            <w:tcW w:w="5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尚未审结</w:t>
            </w:r>
          </w:p>
        </w:tc>
        <w:tc>
          <w:tcPr>
            <w:tcW w:w="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总计</w:t>
            </w:r>
          </w:p>
        </w:tc>
        <w:tc>
          <w:tcPr>
            <w:tcW w:w="64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结果维持</w:t>
            </w:r>
          </w:p>
        </w:tc>
        <w:tc>
          <w:tcPr>
            <w:tcW w:w="5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结果纠正</w:t>
            </w:r>
          </w:p>
        </w:tc>
        <w:tc>
          <w:tcPr>
            <w:tcW w:w="60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其他结果</w:t>
            </w:r>
          </w:p>
        </w:tc>
        <w:tc>
          <w:tcPr>
            <w:tcW w:w="5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尚未审结</w:t>
            </w:r>
          </w:p>
        </w:tc>
        <w:tc>
          <w:tcPr>
            <w:tcW w:w="16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jc w:val="center"/>
        </w:trPr>
        <w:tc>
          <w:tcPr>
            <w:tcW w:w="42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18"/>
                <w:szCs w:val="18"/>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18"/>
                <w:szCs w:val="18"/>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18"/>
                <w:szCs w:val="18"/>
                <w:bdr w:val="none" w:color="auto" w:sz="0" w:space="0"/>
              </w:rPr>
              <w:t>0</w:t>
            </w:r>
          </w:p>
        </w:tc>
        <w:tc>
          <w:tcPr>
            <w:tcW w:w="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Calibri" w:hAnsi="Calibri" w:cs="Calibri"/>
                <w:sz w:val="21"/>
                <w:szCs w:val="21"/>
                <w:bdr w:val="none" w:color="auto" w:sz="0" w:space="0"/>
              </w:rPr>
              <w:t>0</w:t>
            </w:r>
          </w:p>
        </w:tc>
        <w:tc>
          <w:tcPr>
            <w:tcW w:w="5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6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c>
          <w:tcPr>
            <w:tcW w:w="16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Calibri" w:hAnsi="Calibri" w:cs="Calibri"/>
                <w:sz w:val="21"/>
                <w:szCs w:val="21"/>
                <w:bdr w:val="none" w:color="auto" w:sz="0" w:space="0"/>
              </w:rPr>
              <w:t>0</w:t>
            </w:r>
          </w:p>
        </w:tc>
      </w:tr>
    </w:tbl>
    <w:p>
      <w:pPr>
        <w:pStyle w:val="2"/>
        <w:keepNext w:val="0"/>
        <w:keepLines w:val="0"/>
        <w:widowControl/>
        <w:suppressLineNumbers w:val="0"/>
        <w:autoSpaceDE w:val="0"/>
        <w:autoSpaceDN/>
        <w:spacing w:line="560" w:lineRule="atLeast"/>
        <w:ind w:left="0" w:firstLine="640"/>
        <w:jc w:val="left"/>
      </w:pPr>
      <w:r>
        <w:rPr>
          <w:rFonts w:hint="eastAsia" w:ascii="黑体" w:hAnsi="宋体" w:eastAsia="黑体" w:cs="黑体"/>
          <w:sz w:val="32"/>
          <w:szCs w:val="32"/>
        </w:rPr>
        <w:t>五、存在的主要问题及改进情况</w:t>
      </w:r>
    </w:p>
    <w:p>
      <w:pPr>
        <w:pStyle w:val="2"/>
        <w:keepNext w:val="0"/>
        <w:keepLines w:val="0"/>
        <w:widowControl/>
        <w:suppressLineNumbers w:val="0"/>
        <w:autoSpaceDE w:val="0"/>
        <w:autoSpaceDN/>
        <w:spacing w:line="560" w:lineRule="atLeast"/>
        <w:ind w:left="0" w:firstLine="640"/>
      </w:pPr>
      <w:r>
        <w:rPr>
          <w:rFonts w:hint="eastAsia" w:ascii="仿宋_GB2312" w:eastAsia="仿宋_GB2312" w:cs="仿宋_GB2312"/>
          <w:color w:val="000000"/>
          <w:sz w:val="32"/>
          <w:szCs w:val="32"/>
          <w:shd w:val="clear" w:fill="FFFFFF"/>
        </w:rPr>
        <w:t>一是信息公开的“含金量”需进一步提高，部分重点领域信息公开待进一步加强。二是部分政策性文件解读材料质量不高，不够深入。</w:t>
      </w:r>
    </w:p>
    <w:p>
      <w:pPr>
        <w:pStyle w:val="2"/>
        <w:keepNext w:val="0"/>
        <w:keepLines w:val="0"/>
        <w:widowControl/>
        <w:suppressLineNumbers w:val="0"/>
        <w:autoSpaceDE w:val="0"/>
        <w:autoSpaceDN/>
        <w:spacing w:line="560" w:lineRule="atLeast"/>
        <w:ind w:left="0" w:firstLine="640"/>
      </w:pPr>
      <w:r>
        <w:rPr>
          <w:rFonts w:hint="eastAsia" w:ascii="仿宋_GB2312" w:eastAsia="仿宋_GB2312" w:cs="仿宋_GB2312"/>
          <w:color w:val="000000"/>
          <w:sz w:val="32"/>
          <w:szCs w:val="32"/>
          <w:shd w:val="clear" w:fill="FFFFFF"/>
        </w:rPr>
        <w:t>2023年，我中心坚持统筹政务公开工作和人社业务工作，丰富政务信息解读形式，提高了人社领域政务公开水平。重点宣传与参保群众利益息息相关的人社政策，进一步了提高政策的知晓度和满意度。</w:t>
      </w:r>
    </w:p>
    <w:p>
      <w:pPr>
        <w:pStyle w:val="2"/>
        <w:keepNext w:val="0"/>
        <w:keepLines w:val="0"/>
        <w:widowControl/>
        <w:suppressLineNumbers w:val="0"/>
        <w:autoSpaceDE w:val="0"/>
        <w:autoSpaceDN/>
        <w:spacing w:line="560" w:lineRule="atLeast"/>
        <w:ind w:left="0" w:firstLine="640"/>
        <w:jc w:val="left"/>
      </w:pPr>
      <w:r>
        <w:rPr>
          <w:rFonts w:hint="eastAsia" w:ascii="黑体" w:hAnsi="宋体" w:eastAsia="黑体" w:cs="黑体"/>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rPr>
        <w:t>一、本年度依申请公开，</w:t>
      </w:r>
      <w:r>
        <w:rPr>
          <w:rFonts w:hint="eastAsia" w:ascii="仿宋_GB2312" w:eastAsia="仿宋_GB2312" w:cs="仿宋_GB2312"/>
          <w:caps w:val="0"/>
          <w:color w:val="000000"/>
          <w:spacing w:val="0"/>
          <w:sz w:val="32"/>
          <w:szCs w:val="32"/>
          <w:bdr w:val="none" w:color="auto" w:sz="0" w:space="0"/>
          <w:shd w:val="clear" w:fill="FFFFFF"/>
        </w:rPr>
        <w:t>未收取任何信息处理费。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shd w:val="clear" w:fill="FFFFFF"/>
        </w:rPr>
        <w:t>二、本年度无建议提案办理情况。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shd w:val="clear" w:fill="FFFFFF"/>
        </w:rPr>
        <w:t>三、创新实践情况：不断创新政务公开形式，结合文明实践活动，运用群众喜闻乐见的形式，把政务公开融入到群众日常生产生活，缩短与群众距离，让政务公开更具人性化、更有温度感。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pPr>
      <w:r>
        <w:rPr>
          <w:rFonts w:hint="eastAsia" w:ascii="仿宋_GB2312" w:eastAsia="仿宋_GB2312" w:cs="仿宋_GB2312"/>
          <w:caps w:val="0"/>
          <w:color w:val="000000"/>
          <w:spacing w:val="0"/>
          <w:sz w:val="32"/>
          <w:szCs w:val="32"/>
          <w:bdr w:val="none" w:color="auto" w:sz="0" w:space="0"/>
          <w:shd w:val="clear" w:fill="FFFFFF"/>
        </w:rPr>
        <w:t>四、落实上年度政务公开工作要点情况：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pPr>
      <w:r>
        <w:rPr>
          <w:rFonts w:ascii="楷体" w:hAnsi="楷体" w:eastAsia="楷体" w:cs="楷体"/>
          <w:caps w:val="0"/>
          <w:color w:val="000000"/>
          <w:spacing w:val="0"/>
          <w:sz w:val="32"/>
          <w:szCs w:val="32"/>
          <w:bdr w:val="none" w:color="auto" w:sz="0" w:space="0"/>
          <w:shd w:val="clear" w:fill="FFFFFF"/>
        </w:rPr>
        <w:t>（</w:t>
      </w:r>
      <w:r>
        <w:rPr>
          <w:rFonts w:hint="eastAsia" w:ascii="楷体" w:hAnsi="楷体" w:eastAsia="楷体" w:cs="楷体"/>
          <w:caps w:val="0"/>
          <w:color w:val="000000"/>
          <w:spacing w:val="0"/>
          <w:sz w:val="32"/>
          <w:szCs w:val="32"/>
          <w:bdr w:val="none" w:color="auto" w:sz="0" w:space="0"/>
          <w:shd w:val="clear" w:fill="FFFFFF"/>
        </w:rPr>
        <w:t>1）不断夯实政务公开工作基础。</w:t>
      </w:r>
      <w:r>
        <w:rPr>
          <w:rFonts w:hint="eastAsia" w:ascii="仿宋_GB2312" w:eastAsia="仿宋_GB2312" w:cs="仿宋_GB2312"/>
          <w:caps w:val="0"/>
          <w:color w:val="000000"/>
          <w:spacing w:val="0"/>
          <w:sz w:val="32"/>
          <w:szCs w:val="32"/>
          <w:bdr w:val="none" w:color="auto" w:sz="0" w:space="0"/>
          <w:shd w:val="clear" w:fill="FFFFFF"/>
        </w:rPr>
        <w:t>扎实推进政务公开常态化，严格按照《2023年淄博高新区政务公开工作方案》，不断完善主动公开基本目录，完善政府信息公开平台栏目，落实专人专责，健全主动公开栏目内容的日常检查、维护和更新机制。不定期进行政务公开问题检测，对于发现的问题通知相关科室立行整改。</w:t>
      </w:r>
    </w:p>
    <w:p>
      <w:pPr>
        <w:pStyle w:val="2"/>
        <w:keepNext w:val="0"/>
        <w:keepLines w:val="0"/>
        <w:widowControl/>
        <w:suppressLineNumbers w:val="0"/>
        <w:autoSpaceDE w:val="0"/>
        <w:autoSpaceDN/>
        <w:spacing w:line="560" w:lineRule="atLeast"/>
        <w:ind w:left="0" w:firstLine="640"/>
        <w:jc w:val="left"/>
      </w:pPr>
      <w:r>
        <w:rPr>
          <w:rFonts w:hint="eastAsia" w:ascii="楷体" w:hAnsi="楷体" w:eastAsia="楷体" w:cs="楷体"/>
          <w:caps w:val="0"/>
          <w:color w:val="000000"/>
          <w:spacing w:val="0"/>
          <w:sz w:val="32"/>
          <w:szCs w:val="32"/>
          <w:shd w:val="clear" w:fill="FFFFFF"/>
        </w:rPr>
        <w:t>（2）加强重点领域信息公开。</w:t>
      </w:r>
      <w:r>
        <w:rPr>
          <w:rFonts w:hint="eastAsia" w:ascii="仿宋_GB2312" w:eastAsia="仿宋_GB2312" w:cs="仿宋_GB2312"/>
          <w:color w:val="000000"/>
          <w:sz w:val="32"/>
          <w:szCs w:val="32"/>
          <w:shd w:val="clear" w:fill="FFFFFF"/>
        </w:rPr>
        <w:t>2023年高新区人社中心通过政府网站、政府信息公开网站、微信公众号等方式主动公开政府信息660余篇，包含社会保险、就业创业、劳动保障、职称评定、劳动仲裁等人社各个领域。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pPr>
      <w:r>
        <w:rPr>
          <w:rFonts w:hint="eastAsia" w:ascii="楷体" w:hAnsi="楷体" w:eastAsia="楷体" w:cs="楷体"/>
          <w:caps w:val="0"/>
          <w:color w:val="000000"/>
          <w:spacing w:val="0"/>
          <w:sz w:val="32"/>
          <w:szCs w:val="32"/>
          <w:bdr w:val="none" w:color="auto" w:sz="0" w:space="0"/>
          <w:shd w:val="clear" w:fill="FFFFFF"/>
        </w:rPr>
        <w:t>（3）持续强化政务公开队伍建设。</w:t>
      </w:r>
      <w:r>
        <w:rPr>
          <w:rFonts w:hint="eastAsia" w:ascii="仿宋_GB2312" w:eastAsia="仿宋_GB2312" w:cs="仿宋_GB2312"/>
          <w:caps w:val="0"/>
          <w:color w:val="000000"/>
          <w:spacing w:val="0"/>
          <w:sz w:val="32"/>
          <w:szCs w:val="32"/>
          <w:bdr w:val="none" w:color="auto" w:sz="0" w:space="0"/>
          <w:shd w:val="clear" w:fill="FFFFFF"/>
        </w:rPr>
        <w:t>加强政务公开工作领导小组工作力度，不定期召开领导小组会议，研究工作重点，加强工作推进；加大业务骨干培养力度，按时参加上级部门举办的业务培训，切实提高政务公开队伍建设和业务能力水平。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301200CD"/>
    <w:rsid w:val="01606F2F"/>
    <w:rsid w:val="25B367D0"/>
    <w:rsid w:val="301200CD"/>
    <w:rsid w:val="4E582681"/>
    <w:rsid w:val="4EBF4E76"/>
    <w:rsid w:val="55FF0160"/>
    <w:rsid w:val="564432AA"/>
    <w:rsid w:val="63941C0D"/>
    <w:rsid w:val="6C58250B"/>
    <w:rsid w:val="6F2F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2421</Words>
  <Characters>2523</Characters>
  <Lines>0</Lines>
  <Paragraphs>0</Paragraphs>
  <TotalTime>127</TotalTime>
  <ScaleCrop>false</ScaleCrop>
  <LinksUpToDate>false</LinksUpToDate>
  <CharactersWithSpaces>2527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2024-01-31T03:37:00Z</dcterms:created>
  <dc:creator>Administrator</dc:creator>
  <cp:lastModifiedBy>Administrator</cp:lastModifiedBy>
  <dcterms:modified xsi:type="dcterms:W3CDTF">2024-01-31T05:51:04Z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640D5E90523944429A5B37E082B148DE_13</vt:lpwstr>
  </property>
</Properties>
</file>