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</w:pPr>
      <w:r>
        <w:rPr>
          <w:rFonts w:ascii="仿宋" w:hAnsi="仿宋" w:eastAsia="仿宋" w:cs="仿宋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淄博高新技术产业开发区管理委员会办公室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202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3年政府信息公开工作年度报告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。本报告中所列数据的统计期限自2023年1月1日起，至2023年12月31日止。本报告可在淄博高新区门户网站（http://www.china-zibo.gov.cn）下载。如对本报告有任何疑问，请与淄博高新区管委会办公室联系（地址：淄博市张店区柳泉路109号1008室；邮编：255035；联系电话：3585321；邮箱：</w:t>
      </w:r>
      <w:r>
        <w:rPr>
          <w:bdr w:val="none" w:color="auto" w:sz="0" w:space="0"/>
          <w:shd w:val="clear" w:fill="FFFFFF"/>
        </w:rPr>
        <w:fldChar w:fldCharType="begin"/>
      </w:r>
      <w:r>
        <w:rPr>
          <w:bdr w:val="none" w:color="auto" w:sz="0" w:space="0"/>
          <w:shd w:val="clear" w:fill="FFFFFF"/>
        </w:rPr>
        <w:instrText xml:space="preserve"> HYPERLINK "https://wx.qq.com/cgi-bin/mmwebwx-bin/webwxcheckurl?requrl=http://zbgxqbgs@zb.shandong.cn&amp;skey=@crypt_a2f84e4e_b0cda42c1437c7f439d243f8f8d9d694&amp;deviceid=e434130017822477&amp;pass_ticket=5MurCvRqvUq84c0qq0UdTsT+iuJZWzHwNEdISHvBYh49hCe5WAnXbPYe6IzddmlW&amp;opcode=2&amp;scene=1&amp;username=@ac54f26fbc83d931855e8a21c7aaf05f" </w:instrText>
      </w:r>
      <w:r>
        <w:rPr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t>zbgxqbgs@zb.shandong.cn</w:t>
      </w:r>
      <w:r>
        <w:rPr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2023年，淄博高新区工委管委会办公室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以习近平新时代中国特色社会主义思想为指导，深入贯彻落实上级关于政务公开工作的决策部署，紧紧围绕高新区工作，以民众需求为导向，用心做好政务公开工作，全面提升政务公开质量和实效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1.主动公开方面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2023年，淄博高新区工委管委会办公室共主动公开政府信息74条。其中，法规文件及解读信息7条、政府会议及相关解读信息51条、组织管理信息6条、财政预决算信息2条、信息公开年报1条，其他信息7条。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2. 依申请公开方面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2023年度，我部门共收到政府信息公开申请7件，比去年下降约67%，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均为自然人申请，申请内容涉及征地信息、旧村改造等领域，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均依法依规按时进行答复，未收到因信息公开引发的行政复议和行政诉讼。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3. 政府信息管理方面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一是及时更新调整本部门信息主动公开目录，完善政府信息公开源头认定机制，做好政策文件公开属性的核验工作；对做好公开信息保密审查。按照“谁公开谁审查”“谁审查谁负责”和“先审核后公开”的原则，明确保密职责，严格审查程序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建立规范性文件专栏，制定规范性文件备案目录，定期发布</w:t>
      </w:r>
      <w:r>
        <w:fldChar w:fldCharType="begin"/>
      </w:r>
      <w:r>
        <w:instrText xml:space="preserve"> HYPERLINK "http://www.zhangdian.gov.cn/gongkai/channel_63620afa0ef0f831b3699d08/"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规范性文件清理</w:t>
      </w:r>
      <w:r>
        <w:fldChar w:fldCharType="end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4. 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优化政府信息公开平台设置，全面梳理政府法定主动公开各栏目内容。创建“政府信息公开条例专区”等5个栏目，优化行政许可等2个专题。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运用新媒体平台扩大受众覆盖面。2023年，“淄博高新”微博发布信息365条，“淄博高新”微信公众号发布信息834条。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强化日常监管，定期对政务新媒体信息进行日常检测，督促问题整改。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5. 监督保障方面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明确主要负责同志对政务公开工作负总责，各科室确定一名政务公开工作联络员，定期会商，责任到人；制定 2023 年政务公开培训计划，年内召开相关培训会议2次，极大的增强了相关人员的业务能力，有力的保障了高新区政务公开工作的顺利开展。2023年，政府信息公开工作无社会评议和责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任追究结果情况。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4"/>
        <w:gridCol w:w="1896"/>
        <w:gridCol w:w="1939"/>
        <w:gridCol w:w="21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本年制发件数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588" w:tblpY="549"/>
        <w:tblOverlap w:val="never"/>
        <w:tblW w:w="10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994"/>
        <w:gridCol w:w="2342"/>
        <w:gridCol w:w="994"/>
        <w:gridCol w:w="1008"/>
        <w:gridCol w:w="954"/>
        <w:gridCol w:w="1021"/>
        <w:gridCol w:w="1048"/>
        <w:gridCol w:w="82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41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caps w:val="0"/>
                <w:color w:val="000000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75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41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48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9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1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DB3E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4157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4157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aps w:val="0"/>
                <w:color w:val="000000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821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4157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</w:pPr>
      <w:r>
        <w:rPr>
          <w:rFonts w:ascii="黑体" w:hAnsi="宋体" w:eastAsia="黑体" w:cs="黑体"/>
          <w:caps w:val="0"/>
          <w:color w:val="000000"/>
          <w:spacing w:val="0"/>
          <w:sz w:val="32"/>
          <w:szCs w:val="32"/>
          <w:bdr w:val="none" w:color="auto" w:sz="0" w:space="0"/>
        </w:rPr>
        <w:t>   </w:t>
      </w: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584"/>
        <w:gridCol w:w="584"/>
        <w:gridCol w:w="569"/>
        <w:gridCol w:w="520"/>
        <w:gridCol w:w="584"/>
        <w:gridCol w:w="584"/>
        <w:gridCol w:w="584"/>
        <w:gridCol w:w="584"/>
        <w:gridCol w:w="505"/>
        <w:gridCol w:w="663"/>
        <w:gridCol w:w="551"/>
        <w:gridCol w:w="616"/>
        <w:gridCol w:w="584"/>
        <w:gridCol w:w="4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38" w:right="0" w:firstLine="0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38" w:right="0" w:firstLine="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2023年，政府信息公开工作虽然取得了一定成效，但还存在以下问题：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一是精品意识有待提升，政务公开工作亮点不多。二是信息公开细化程度不高，对关键信息、重点内容解读不够到位。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针对以上问题，办公室聚焦疑难症结，突出结果导向，多措并举推动问题解决。一是提升典型经验选树意识，对政策解读等领域亮点工作及时归纳，树立典型，带动整体提升。二是稳步提升信息公开颗粒度，强化关键重点信息把控，力求公开有重点、内容够精密，加大政策解读力度，探索文件、会议解读新形式，提升群众对政府政策的知晓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3"/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一、依申请公开收费情况：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根据《国务院办公厅关于印发〈政府信息公开信息处理费管理办法〉的通知》（国办函〔2020〕109号）规定，本年度未收取任何政府信息公开信息处理费。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二、本年度建议提案办理情况：高新区作为淄博市派出机构，无单独办理建议提案职能。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8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三：创新实践情况：高新区严格落实上级规定，不断规范政府依申请公开答复各环节流程。形成由管委会办公室统筹管理全区依申请公开答复登记、转办、指导、审核、统计、归档等全生命周期的工作模式，通过协调转办、合并答复、会商研判等手段，一方面，有效的缩短了办理时限，减轻了部门的工作压力，另一方面，有效的提升了答复质量，提高了群众满意度。同时，对依申请管公开答复建立“起草部门-部门主要领导-律师团队-管委会办公室-管委分管领导”五级审核制度，层层审核、分级把关，从严把握依申请公开答复内容质量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8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今年以来，高新区依法依规处理依申请公开答复37件，同比下降60%左右，未发生由信息公开答复不规范引发的行政复议及行政诉讼案件，切实回应群众关切。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72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四、落实上年度政务公开工作要点情况：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3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严格落实《2023年淄博高新区政务公开工作方案》，紧抓政府信息公开日常工作，坚持“公开是原则，不公开是例外”的原则，健全工作机制、创新公开形式、完善公开内容、接受社会监督，促进政务公开工作的常态化、制度化、规范化。持续更新完善主动公开基本目录，明确责任人和完成时限，加大督导考核力度，持续将政务公开工作纳入部门月度绩效考核，确保各项任务落实到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75D56A0F"/>
    <w:rsid w:val="75D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2024-01-31T03:02:00Z</dcterms:created>
  <dc:creator>Administrator</dc:creator>
  <cp:lastModifiedBy>Administrator</cp:lastModifiedBy>
  <dcterms:modified xsi:type="dcterms:W3CDTF">2024-01-31T03:03:02Z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3FB040DA72114D49B502618F87DD8D2A_11</vt:lpwstr>
  </property>
</Properties>
</file>