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b/>
          <w:sz w:val="30"/>
          <w:szCs w:val="30"/>
        </w:rPr>
      </w:pPr>
    </w:p>
    <w:p/>
    <w:p>
      <w:pPr>
        <w:jc w:val="center"/>
        <w:rPr>
          <w:rFonts w:ascii="宋体" w:eastAsia="宋体"/>
          <w:b/>
          <w:sz w:val="36"/>
          <w:szCs w:val="36"/>
        </w:rPr>
      </w:pPr>
      <w:r>
        <w:rPr>
          <w:rFonts w:ascii="宋体" w:eastAsia="宋体" w:hint="eastAsia"/>
          <w:b/>
          <w:sz w:val="36"/>
          <w:szCs w:val="36"/>
        </w:rPr>
        <w:t>综合行政执法局2019年政府信息公开工作年度报告</w:t>
      </w:r>
    </w:p>
    <w:p>
      <w:pPr>
        <w:rPr>
          <w:rFonts w:ascii="仿宋" w:eastAsia="仿宋"/>
          <w:b/>
          <w:sz w:val="28"/>
          <w:szCs w:val="28"/>
        </w:rPr>
      </w:pPr>
    </w:p>
    <w:p>
      <w:pPr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本报告是依据《中华人民共和国政府信息公开条例》的要求，由</w:t>
      </w:r>
      <w:r>
        <w:rPr>
          <w:rFonts w:ascii="仿宋" w:eastAsia="仿宋" w:hint="eastAsia"/>
          <w:sz w:val="30"/>
          <w:szCs w:val="30"/>
        </w:rPr>
        <w:t>综合行政执法局</w:t>
      </w:r>
      <w:r>
        <w:rPr>
          <w:rFonts w:ascii="仿宋" w:eastAsia="仿宋"/>
          <w:sz w:val="30"/>
          <w:szCs w:val="30"/>
        </w:rPr>
        <w:t>编制</w:t>
      </w:r>
      <w:r>
        <w:rPr>
          <w:rFonts w:ascii="仿宋" w:eastAsia="仿宋" w:hint="eastAsia"/>
          <w:sz w:val="30"/>
          <w:szCs w:val="30"/>
        </w:rPr>
        <w:t>，主要内容包括：总体情况，主动公开政府信息情况，收到和处理政府信息公开申请情况，政府信息公开行政复议、行政诉讼情况，存在的主要问题及改进情况，其他需要报告的事项等。报告中所列数据的统计期限自2019年1月1日至2019年12月31日止。</w:t>
      </w:r>
      <w:r>
        <w:rPr>
          <w:rFonts w:ascii="仿宋" w:eastAsia="仿宋"/>
          <w:sz w:val="30"/>
          <w:szCs w:val="30"/>
        </w:rPr>
        <w:t>本报告可在淄博高新区管委会网站下载</w:t>
      </w:r>
      <w:r>
        <w:rPr>
          <w:rFonts w:ascii="仿宋" w:eastAsia="仿宋" w:hint="eastAsia"/>
          <w:sz w:val="30"/>
          <w:szCs w:val="30"/>
        </w:rPr>
        <w:t>（</w:t>
      </w:r>
      <w:r>
        <w:rPr>
          <w:rFonts w:ascii="仿宋" w:eastAsia="仿宋"/>
          <w:sz w:val="30"/>
          <w:szCs w:val="30"/>
        </w:rPr>
        <w:t>http://www.china-zibo.gov.cn</w:t>
      </w:r>
      <w:r>
        <w:rPr>
          <w:rFonts w:ascii="仿宋" w:eastAsia="仿宋" w:hint="eastAsia"/>
          <w:sz w:val="30"/>
          <w:szCs w:val="30"/>
        </w:rPr>
        <w:t>）。</w:t>
      </w:r>
      <w:r>
        <w:rPr>
          <w:rFonts w:ascii="仿宋" w:eastAsia="仿宋"/>
          <w:sz w:val="30"/>
          <w:szCs w:val="30"/>
        </w:rPr>
        <w:t>如对本报告有任何疑问，请与</w:t>
      </w:r>
      <w:r>
        <w:rPr>
          <w:rFonts w:ascii="仿宋" w:eastAsia="仿宋" w:hint="eastAsia"/>
          <w:sz w:val="30"/>
          <w:szCs w:val="30"/>
        </w:rPr>
        <w:t>综合</w:t>
      </w:r>
      <w:r>
        <w:rPr>
          <w:rFonts w:ascii="仿宋" w:eastAsia="仿宋"/>
          <w:sz w:val="30"/>
          <w:szCs w:val="30"/>
        </w:rPr>
        <w:t>行政执法局联系</w:t>
      </w:r>
      <w:r>
        <w:rPr>
          <w:rFonts w:ascii="仿宋" w:eastAsia="仿宋" w:hint="eastAsia"/>
          <w:sz w:val="30"/>
          <w:szCs w:val="30"/>
        </w:rPr>
        <w:t>，地址：天鸿路36号，</w:t>
      </w:r>
      <w:r>
        <w:rPr>
          <w:rFonts w:ascii="仿宋" w:eastAsia="仿宋"/>
          <w:sz w:val="30"/>
          <w:szCs w:val="30"/>
        </w:rPr>
        <w:t>联系电话：0533-3586926</w:t>
      </w:r>
      <w:r>
        <w:rPr>
          <w:rFonts w:ascii="仿宋" w:eastAsia="仿宋" w:hint="eastAsia"/>
          <w:sz w:val="30"/>
          <w:szCs w:val="30"/>
        </w:rPr>
        <w:t>。</w:t>
      </w:r>
    </w:p>
    <w:p>
      <w:pPr>
        <w:ind w:firstLineChars="200" w:firstLine="600"/>
        <w:rPr>
          <w:rFonts w:ascii="仿宋" w:eastAsia="仿宋"/>
          <w:sz w:val="30"/>
          <w:szCs w:val="30"/>
        </w:rPr>
      </w:pPr>
    </w:p>
    <w:p>
      <w:pPr>
        <w:spacing w:line="480" w:lineRule="exact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sz w:val="28"/>
          <w:szCs w:val="28"/>
        </w:rPr>
        <w:t xml:space="preserve"> </w:t>
      </w:r>
      <w:r>
        <w:rPr>
          <w:rFonts w:ascii="仿宋" w:eastAsia="仿宋" w:hint="eastAsia"/>
          <w:sz w:val="30"/>
          <w:szCs w:val="30"/>
        </w:rPr>
        <w:t xml:space="preserve">   </w:t>
      </w:r>
      <w:r>
        <w:rPr>
          <w:rFonts w:ascii="仿宋" w:eastAsia="仿宋" w:hint="eastAsia"/>
          <w:b/>
          <w:sz w:val="30"/>
          <w:szCs w:val="30"/>
        </w:rPr>
        <w:t>一、总体情况</w:t>
      </w:r>
    </w:p>
    <w:p>
      <w:pPr>
        <w:spacing w:line="4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我局认真落实</w:t>
      </w:r>
      <w:r>
        <w:rPr>
          <w:rFonts w:ascii="仿宋" w:eastAsia="仿宋"/>
          <w:sz w:val="30"/>
          <w:szCs w:val="30"/>
        </w:rPr>
        <w:t>《中华人民共和国政府信息公开条例》和《</w:t>
      </w:r>
      <w:bookmarkStart w:id="0" w:name="_GoBack"/>
      <w:bookmarkEnd w:id="0"/>
      <w:r>
        <w:rPr>
          <w:rFonts w:ascii="仿宋" w:eastAsia="仿宋"/>
          <w:sz w:val="30"/>
          <w:szCs w:val="30"/>
        </w:rPr>
        <w:t>山东省政府信息公开办法》相关要求，推进、指导和监督局政府信息公开工作，</w:t>
      </w:r>
      <w:r>
        <w:rPr>
          <w:rFonts w:ascii="仿宋" w:eastAsia="仿宋" w:hint="eastAsia"/>
          <w:sz w:val="30"/>
          <w:szCs w:val="30"/>
        </w:rPr>
        <w:t>努力提升政务公开质量。</w:t>
      </w:r>
      <w:r>
        <w:rPr>
          <w:rFonts w:ascii="仿宋" w:eastAsia="仿宋"/>
          <w:sz w:val="30"/>
          <w:szCs w:val="30"/>
        </w:rPr>
        <w:t xml:space="preserve"> </w:t>
      </w:r>
    </w:p>
    <w:p/>
    <w:p>
      <w:pPr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（一）2019年主动公开政府信息情况</w:t>
      </w:r>
    </w:p>
    <w:p>
      <w:pPr>
        <w:spacing w:line="4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201</w:t>
      </w:r>
      <w:r>
        <w:rPr>
          <w:rFonts w:ascii="仿宋" w:eastAsia="仿宋" w:hint="eastAsia"/>
          <w:sz w:val="30"/>
          <w:szCs w:val="30"/>
        </w:rPr>
        <w:t>9</w:t>
      </w:r>
      <w:r>
        <w:rPr>
          <w:rFonts w:ascii="仿宋" w:eastAsia="仿宋"/>
          <w:sz w:val="30"/>
          <w:szCs w:val="30"/>
        </w:rPr>
        <w:t>年</w:t>
      </w:r>
      <w:r>
        <w:rPr>
          <w:rFonts w:ascii="仿宋" w:eastAsia="仿宋" w:hint="eastAsia"/>
          <w:sz w:val="30"/>
          <w:szCs w:val="30"/>
        </w:rPr>
        <w:t>综合</w:t>
      </w:r>
      <w:r>
        <w:rPr>
          <w:rFonts w:ascii="仿宋" w:eastAsia="仿宋"/>
          <w:sz w:val="30"/>
          <w:szCs w:val="30"/>
        </w:rPr>
        <w:t>行政执法局主动公开的政府信息共</w:t>
      </w:r>
      <w:r>
        <w:rPr>
          <w:rFonts w:ascii="仿宋" w:eastAsia="仿宋" w:hint="eastAsia"/>
          <w:sz w:val="30"/>
          <w:szCs w:val="30"/>
        </w:rPr>
        <w:t>33</w:t>
      </w:r>
      <w:r>
        <w:rPr>
          <w:rFonts w:ascii="仿宋" w:eastAsia="仿宋"/>
          <w:sz w:val="30"/>
          <w:szCs w:val="30"/>
        </w:rPr>
        <w:t>条</w:t>
      </w:r>
      <w:r>
        <w:rPr>
          <w:rFonts w:ascii="仿宋" w:eastAsia="仿宋" w:hint="eastAsia"/>
          <w:sz w:val="30"/>
          <w:szCs w:val="30"/>
        </w:rPr>
        <w:t>,其中积极推进执法信息公开，做好权责清单调整和公开工作，及时公示机关职能和人事调整信息。</w:t>
      </w:r>
    </w:p>
    <w:p>
      <w:pPr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（二）2019年依申请公开政府信息情况</w:t>
      </w:r>
    </w:p>
    <w:p>
      <w:pPr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2019年，我局未收到政府信息公开申请。</w:t>
      </w:r>
    </w:p>
    <w:p/>
    <w:p>
      <w:pPr>
        <w:ind w:firstLineChars="200" w:firstLine="600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二、主动公开政府信息情况</w:t>
      </w:r>
    </w:p>
    <w:p>
      <w:pPr>
        <w:rPr>
          <w:b/>
          <w:sz w:val="24"/>
          <w:szCs w:val="24"/>
        </w:rPr>
      </w:pPr>
    </w:p>
    <w:tbl>
      <w:tblPr>
        <w:jc w:val="cent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rPr>
          <w:trHeight w:val="473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rPr>
          <w:trHeight w:val="550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rPr>
          <w:trHeight w:val="558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0</w:t>
            </w:r>
          </w:p>
        </w:tc>
      </w:tr>
      <w:tr>
        <w:trPr>
          <w:trHeight w:val="553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1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1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1</w:t>
            </w:r>
          </w:p>
        </w:tc>
      </w:tr>
      <w:tr>
        <w:trPr>
          <w:trHeight w:val="539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rPr>
          <w:trHeight w:val="623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rPr>
          <w:trHeight w:val="544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0</w:t>
            </w:r>
          </w:p>
        </w:tc>
      </w:tr>
      <w:tr>
        <w:trPr>
          <w:trHeight w:val="536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8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+3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0</w:t>
            </w:r>
          </w:p>
        </w:tc>
      </w:tr>
      <w:tr>
        <w:trPr>
          <w:trHeight w:val="408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rPr>
          <w:trHeight w:val="481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rPr>
          <w:trHeight w:val="429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1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1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2</w:t>
            </w:r>
          </w:p>
        </w:tc>
      </w:tr>
      <w:tr>
        <w:trPr>
          <w:trHeight w:val="429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0    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0       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0</w:t>
            </w:r>
          </w:p>
        </w:tc>
      </w:tr>
      <w:tr>
        <w:trPr>
          <w:trHeight w:val="471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rPr>
          <w:trHeight w:val="497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rPr>
          <w:trHeight w:val="497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8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+3</w:t>
            </w:r>
          </w:p>
        </w:tc>
      </w:tr>
      <w:tr>
        <w:trPr>
          <w:trHeight w:val="487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rPr>
          <w:trHeight w:val="408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rPr>
          <w:trHeight w:val="428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0</w:t>
            </w:r>
          </w:p>
        </w:tc>
      </w:tr>
    </w:tbl>
    <w:p/>
    <w:p/>
    <w:p>
      <w:pPr>
        <w:ind w:firstLineChars="700" w:firstLine="1960"/>
        <w:rPr>
          <w:rFonts w:ascii="黑体" w:eastAsia="黑体"/>
          <w:b/>
          <w:sz w:val="28"/>
          <w:szCs w:val="28"/>
        </w:rPr>
      </w:pPr>
    </w:p>
    <w:p/>
    <w:p>
      <w:pPr>
        <w:ind w:firstLineChars="700" w:firstLine="1960"/>
        <w:rPr>
          <w:rFonts w:ascii="黑体" w:eastAsia="黑体"/>
          <w:b/>
          <w:sz w:val="28"/>
          <w:szCs w:val="28"/>
        </w:rPr>
      </w:pPr>
    </w:p>
    <w:p>
      <w:pPr>
        <w:ind w:firstLineChars="700" w:firstLine="1960"/>
        <w:rPr>
          <w:rFonts w:ascii="黑体" w:eastAsia="黑体"/>
          <w:b/>
          <w:sz w:val="28"/>
          <w:szCs w:val="28"/>
        </w:rPr>
      </w:pPr>
    </w:p>
    <w:p>
      <w:pPr>
        <w:ind w:firstLineChars="700" w:firstLine="1960"/>
        <w:rPr>
          <w:rFonts w:ascii="黑体" w:eastAsia="黑体"/>
          <w:b/>
          <w:sz w:val="28"/>
          <w:szCs w:val="28"/>
        </w:rPr>
      </w:pPr>
    </w:p>
    <w:p>
      <w:pPr>
        <w:ind w:firstLineChars="150" w:firstLine="450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三、收到和处理政府信息公开申请情况</w:t>
      </w:r>
    </w:p>
    <w:tbl>
      <w:tblPr>
        <w:jc w:val="left"/>
        <w:tblInd w:w="-572" w:type="dxa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rPr>
          <w:trHeight w:val="448"/>
        </w:trPr>
        <w:tc>
          <w:tcPr>
            <w:tcW w:w="4820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rPr>
          <w:trHeight w:val="531"/>
        </w:trPr>
        <w:tc>
          <w:tcPr>
            <w:tcW w:w="4820" w:type="dxa"/>
            <w:gridSpan w:val="3"/>
            <w:vMerge/>
          </w:tcPr>
          <w:p/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rPr>
          <w:trHeight w:val="1127"/>
        </w:trPr>
        <w:tc>
          <w:tcPr>
            <w:tcW w:w="4820" w:type="dxa"/>
            <w:gridSpan w:val="3"/>
            <w:vMerge/>
          </w:tcPr>
          <w:p/>
        </w:tc>
        <w:tc>
          <w:tcPr>
            <w:tcW w:w="567" w:type="dxa"/>
            <w:vMerge/>
          </w:tcPr>
          <w:p/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/>
        </w:tc>
      </w:tr>
      <w:tr>
        <w:trPr>
          <w:trHeight w:val="449"/>
        </w:trPr>
        <w:tc>
          <w:tcPr>
            <w:tcW w:w="4820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/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rPr>
          <w:trHeight w:val="399"/>
        </w:trPr>
        <w:tc>
          <w:tcPr>
            <w:tcW w:w="4820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18"/>
        </w:trPr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c>
          <w:tcPr>
            <w:tcW w:w="567" w:type="dxa"/>
            <w:vMerge/>
          </w:tcPr>
          <w:p/>
        </w:tc>
        <w:tc>
          <w:tcPr>
            <w:tcW w:w="4253" w:type="dxa"/>
            <w:gridSpan w:val="2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90"/>
        </w:trPr>
        <w:tc>
          <w:tcPr>
            <w:tcW w:w="567" w:type="dxa"/>
            <w:vMerge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  <w:r>
              <w:rPr>
                <w:rFonts w:ascii="宋体" w:hint="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26"/>
        </w:trPr>
        <w:tc>
          <w:tcPr>
            <w:tcW w:w="567" w:type="dxa"/>
            <w:vMerge/>
          </w:tcPr>
          <w:p/>
        </w:tc>
        <w:tc>
          <w:tcPr>
            <w:tcW w:w="1560" w:type="dxa"/>
            <w:vMerge/>
            <w:vAlign w:val="center"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19"/>
        </w:trPr>
        <w:tc>
          <w:tcPr>
            <w:tcW w:w="567" w:type="dxa"/>
            <w:vMerge/>
          </w:tcPr>
          <w:p/>
        </w:tc>
        <w:tc>
          <w:tcPr>
            <w:tcW w:w="1560" w:type="dxa"/>
            <w:vMerge/>
            <w:vAlign w:val="center"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397"/>
        </w:trPr>
        <w:tc>
          <w:tcPr>
            <w:tcW w:w="567" w:type="dxa"/>
            <w:vMerge/>
          </w:tcPr>
          <w:p/>
        </w:tc>
        <w:tc>
          <w:tcPr>
            <w:tcW w:w="1560" w:type="dxa"/>
            <w:vMerge/>
            <w:vAlign w:val="center"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16"/>
        </w:trPr>
        <w:tc>
          <w:tcPr>
            <w:tcW w:w="567" w:type="dxa"/>
            <w:vMerge/>
          </w:tcPr>
          <w:p/>
        </w:tc>
        <w:tc>
          <w:tcPr>
            <w:tcW w:w="1560" w:type="dxa"/>
            <w:vMerge/>
            <w:vAlign w:val="center"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09"/>
        </w:trPr>
        <w:tc>
          <w:tcPr>
            <w:tcW w:w="567" w:type="dxa"/>
            <w:vMerge/>
          </w:tcPr>
          <w:p/>
        </w:tc>
        <w:tc>
          <w:tcPr>
            <w:tcW w:w="1560" w:type="dxa"/>
            <w:vMerge/>
            <w:vAlign w:val="center"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15"/>
        </w:trPr>
        <w:tc>
          <w:tcPr>
            <w:tcW w:w="567" w:type="dxa"/>
            <w:vMerge/>
          </w:tcPr>
          <w:p/>
        </w:tc>
        <w:tc>
          <w:tcPr>
            <w:tcW w:w="1560" w:type="dxa"/>
            <w:vMerge/>
            <w:vAlign w:val="center"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21"/>
        </w:trPr>
        <w:tc>
          <w:tcPr>
            <w:tcW w:w="567" w:type="dxa"/>
            <w:vMerge/>
          </w:tcPr>
          <w:p/>
        </w:tc>
        <w:tc>
          <w:tcPr>
            <w:tcW w:w="1560" w:type="dxa"/>
            <w:vMerge/>
            <w:vAlign w:val="center"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12"/>
        </w:trPr>
        <w:tc>
          <w:tcPr>
            <w:tcW w:w="567" w:type="dxa"/>
            <w:vMerge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18"/>
        </w:trPr>
        <w:tc>
          <w:tcPr>
            <w:tcW w:w="567" w:type="dxa"/>
            <w:vMerge/>
          </w:tcPr>
          <w:p/>
        </w:tc>
        <w:tc>
          <w:tcPr>
            <w:tcW w:w="1560" w:type="dxa"/>
            <w:vMerge/>
            <w:vAlign w:val="center"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c>
          <w:tcPr>
            <w:tcW w:w="567" w:type="dxa"/>
            <w:vMerge/>
          </w:tcPr>
          <w:p/>
        </w:tc>
        <w:tc>
          <w:tcPr>
            <w:tcW w:w="1560" w:type="dxa"/>
            <w:vMerge/>
            <w:vAlign w:val="center"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373"/>
        </w:trPr>
        <w:tc>
          <w:tcPr>
            <w:tcW w:w="567" w:type="dxa"/>
            <w:vMerge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ascii="宋体" w:hint="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c>
          <w:tcPr>
            <w:tcW w:w="567" w:type="dxa"/>
            <w:vMerge/>
          </w:tcPr>
          <w:p/>
        </w:tc>
        <w:tc>
          <w:tcPr>
            <w:tcW w:w="1560" w:type="dxa"/>
            <w:vMerge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383"/>
        </w:trPr>
        <w:tc>
          <w:tcPr>
            <w:tcW w:w="567" w:type="dxa"/>
            <w:vMerge/>
          </w:tcPr>
          <w:p/>
        </w:tc>
        <w:tc>
          <w:tcPr>
            <w:tcW w:w="1560" w:type="dxa"/>
            <w:vMerge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  <w:r>
              <w:rPr>
                <w:rFonts w:ascii="宋体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16"/>
        </w:trPr>
        <w:tc>
          <w:tcPr>
            <w:tcW w:w="567" w:type="dxa"/>
            <w:vMerge/>
          </w:tcPr>
          <w:p/>
        </w:tc>
        <w:tc>
          <w:tcPr>
            <w:tcW w:w="1560" w:type="dxa"/>
            <w:vMerge/>
          </w:tcPr>
          <w:p/>
        </w:tc>
        <w:tc>
          <w:tcPr>
            <w:tcW w:w="269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c>
          <w:tcPr>
            <w:tcW w:w="567" w:type="dxa"/>
            <w:vMerge/>
          </w:tcPr>
          <w:p/>
        </w:tc>
        <w:tc>
          <w:tcPr>
            <w:tcW w:w="1560" w:type="dxa"/>
            <w:vMerge/>
          </w:tcPr>
          <w:p/>
        </w:tc>
        <w:tc>
          <w:tcPr>
            <w:tcW w:w="2693" w:type="dxa"/>
          </w:tcPr>
          <w:p>
            <w:pPr>
              <w:ind w:left="180" w:hangingChars="100" w:hanging="18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64"/>
        </w:trPr>
        <w:tc>
          <w:tcPr>
            <w:tcW w:w="567" w:type="dxa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rPr>
          <w:trHeight w:val="415"/>
        </w:trPr>
        <w:tc>
          <w:tcPr>
            <w:tcW w:w="567" w:type="dxa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ind w:firstLineChars="100" w:firstLine="210"/>
            </w:pPr>
            <w:r>
              <w:rPr>
                <w:rFonts w:hint="eastAsia"/>
              </w:rPr>
              <w:t>0</w:t>
            </w:r>
          </w:p>
        </w:tc>
      </w:tr>
      <w:t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>
            <w:pPr>
              <w:ind w:firstLineChars="100" w:firstLine="210"/>
            </w:pPr>
            <w:r>
              <w:rPr>
                <w:rFonts w:hint="eastAsia"/>
              </w:rPr>
              <w:t>0</w:t>
            </w:r>
          </w:p>
        </w:tc>
      </w:tr>
    </w:tbl>
    <w:p/>
    <w:p/>
    <w:p/>
    <w:p>
      <w:pPr>
        <w:ind w:firstLineChars="200" w:firstLine="600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四、政府信息公开行政复议、行政诉讼情况</w:t>
      </w:r>
    </w:p>
    <w:tbl>
      <w:tblPr>
        <w:jc w:val="left"/>
        <w:tblInd w:w="-572" w:type="dxa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rPr>
          <w:trHeight w:val="472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rPr>
          <w:trHeight w:val="563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c>
          <w:tcPr>
            <w:tcW w:w="709" w:type="dxa"/>
            <w:vMerge/>
            <w:vAlign w:val="center"/>
          </w:tcPr>
          <w:p/>
        </w:tc>
        <w:tc>
          <w:tcPr>
            <w:tcW w:w="708" w:type="dxa"/>
            <w:vMerge/>
            <w:vAlign w:val="center"/>
          </w:tcPr>
          <w:p/>
        </w:tc>
        <w:tc>
          <w:tcPr>
            <w:tcW w:w="709" w:type="dxa"/>
            <w:vMerge/>
            <w:vAlign w:val="center"/>
          </w:tcPr>
          <w:p/>
        </w:tc>
        <w:tc>
          <w:tcPr>
            <w:tcW w:w="682" w:type="dxa"/>
            <w:vMerge/>
            <w:vAlign w:val="center"/>
          </w:tcPr>
          <w:p/>
        </w:tc>
        <w:tc>
          <w:tcPr>
            <w:tcW w:w="594" w:type="dxa"/>
            <w:vMerge/>
            <w:vAlign w:val="center"/>
          </w:tcPr>
          <w:p/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rPr>
          <w:trHeight w:val="575"/>
        </w:trPr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spacing w:line="480" w:lineRule="exact"/>
        <w:ind w:firstLine="570"/>
        <w:rPr>
          <w:rFonts w:ascii="仿宋" w:eastAsia="仿宋"/>
          <w:sz w:val="28"/>
          <w:szCs w:val="28"/>
        </w:rPr>
      </w:pPr>
    </w:p>
    <w:p>
      <w:pPr>
        <w:spacing w:line="480" w:lineRule="exact"/>
        <w:ind w:firstLine="570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五、存在主要问题及改进情况</w:t>
      </w:r>
    </w:p>
    <w:p>
      <w:pPr>
        <w:spacing w:line="480" w:lineRule="exact"/>
        <w:ind w:firstLine="570"/>
        <w:rPr>
          <w:rFonts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201</w:t>
      </w:r>
      <w:r>
        <w:rPr>
          <w:rFonts w:ascii="仿宋" w:eastAsia="仿宋" w:hint="eastAsia"/>
          <w:sz w:val="30"/>
          <w:szCs w:val="30"/>
        </w:rPr>
        <w:t>9</w:t>
      </w:r>
      <w:r>
        <w:rPr>
          <w:rFonts w:ascii="仿宋" w:eastAsia="仿宋"/>
          <w:sz w:val="30"/>
          <w:szCs w:val="30"/>
        </w:rPr>
        <w:t>年我局政府信息公开工作规范性有待进一步加强</w:t>
      </w:r>
      <w:r>
        <w:rPr>
          <w:rFonts w:ascii="仿宋" w:eastAsia="仿宋" w:hint="eastAsia"/>
          <w:sz w:val="30"/>
          <w:szCs w:val="30"/>
        </w:rPr>
        <w:t>。</w:t>
      </w:r>
    </w:p>
    <w:p>
      <w:pPr>
        <w:spacing w:line="480" w:lineRule="exact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   </w:t>
      </w:r>
      <w:r>
        <w:rPr>
          <w:rFonts w:ascii="仿宋" w:eastAsia="仿宋"/>
          <w:sz w:val="30"/>
          <w:szCs w:val="30"/>
        </w:rPr>
        <w:t>针对政务信息公开工作存在的主要问题与薄弱环节，</w:t>
      </w:r>
      <w:r>
        <w:rPr>
          <w:rFonts w:ascii="仿宋" w:eastAsia="仿宋" w:hint="eastAsia"/>
          <w:sz w:val="30"/>
          <w:szCs w:val="30"/>
        </w:rPr>
        <w:t>我</w:t>
      </w:r>
      <w:r>
        <w:rPr>
          <w:rFonts w:ascii="仿宋" w:eastAsia="仿宋"/>
          <w:sz w:val="30"/>
          <w:szCs w:val="30"/>
        </w:rPr>
        <w:t>局下一步将着力从以下方面进行改进和加强：</w:t>
      </w:r>
    </w:p>
    <w:p>
      <w:pPr>
        <w:spacing w:line="480" w:lineRule="exact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   1、</w:t>
      </w:r>
      <w:r>
        <w:rPr>
          <w:rFonts w:ascii="仿宋" w:eastAsia="仿宋"/>
          <w:sz w:val="30"/>
          <w:szCs w:val="30"/>
        </w:rPr>
        <w:t>进一步提升政务信息发布与更新效率。</w:t>
      </w:r>
    </w:p>
    <w:p>
      <w:pPr>
        <w:spacing w:line="480" w:lineRule="exact"/>
        <w:ind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2、</w:t>
      </w:r>
      <w:r>
        <w:rPr>
          <w:rFonts w:ascii="仿宋" w:eastAsia="仿宋"/>
          <w:sz w:val="30"/>
          <w:szCs w:val="30"/>
        </w:rPr>
        <w:t>按照以公开为原则的要求，妥善处理公开与保密的关系</w:t>
      </w:r>
      <w:r>
        <w:rPr>
          <w:rFonts w:ascii="仿宋" w:eastAsia="仿宋" w:hint="eastAsia"/>
          <w:sz w:val="30"/>
          <w:szCs w:val="30"/>
        </w:rPr>
        <w:t>。</w:t>
      </w:r>
      <w:r>
        <w:rPr>
          <w:rFonts w:ascii="仿宋" w:eastAsia="仿宋"/>
          <w:sz w:val="30"/>
          <w:szCs w:val="30"/>
        </w:rPr>
        <w:t>合理界定信息公开与否的范围，做到积极稳妥，注重时效，优质服务，切实服务社会，方便群众，推进政务的公开、公正、透明。</w:t>
      </w:r>
    </w:p>
    <w:p>
      <w:pPr>
        <w:spacing w:line="480" w:lineRule="exact"/>
        <w:ind w:firstLine="600"/>
        <w:rPr>
          <w:rFonts w:ascii="仿宋" w:eastAsia="仿宋"/>
          <w:sz w:val="30"/>
          <w:szCs w:val="30"/>
        </w:rPr>
      </w:pPr>
    </w:p>
    <w:p>
      <w:pPr>
        <w:spacing w:line="480" w:lineRule="exact"/>
        <w:ind w:firstLine="600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六、其他需要报告的事项</w:t>
      </w:r>
    </w:p>
    <w:p>
      <w:pPr>
        <w:spacing w:line="480" w:lineRule="exact"/>
        <w:ind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无                           </w:t>
      </w:r>
    </w:p>
    <w:p>
      <w:pPr>
        <w:rPr>
          <w:rFonts w:ascii="仿宋" w:eastAsia="仿宋"/>
          <w:sz w:val="30"/>
          <w:szCs w:val="30"/>
        </w:rPr>
      </w:pPr>
      <w:r>
        <w:rPr>
          <w:rFonts w:hint="eastAsia"/>
        </w:rPr>
        <w:t xml:space="preserve">                     </w:t>
      </w:r>
      <w:r>
        <w:rPr>
          <w:rFonts w:ascii="仿宋" w:eastAsia="仿宋" w:hint="eastAsia"/>
          <w:sz w:val="30"/>
          <w:szCs w:val="30"/>
        </w:rPr>
        <w:t xml:space="preserve">  </w:t>
      </w:r>
    </w:p>
    <w:p>
      <w:pPr>
        <w:ind w:firstLineChars="950" w:firstLine="28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淄博高新技术产业开发区综合行政执法局</w:t>
      </w:r>
    </w:p>
    <w:p>
      <w:pPr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                             </w:t>
      </w:r>
      <w:r>
        <w:rPr>
          <w:rFonts w:ascii="仿宋" w:eastAsia="仿宋"/>
          <w:sz w:val="30"/>
          <w:szCs w:val="30"/>
        </w:rPr>
        <w:t>20</w:t>
      </w:r>
      <w:r>
        <w:rPr>
          <w:rFonts w:ascii="仿宋" w:eastAsia="仿宋" w:hint="eastAsia"/>
          <w:sz w:val="30"/>
          <w:szCs w:val="30"/>
        </w:rPr>
        <w:t>20年3月12日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159</TotalTime>
  <Application>Yozo_Office27021597764231179</Application>
  <Pages>4</Pages>
  <Words>1378</Words>
  <Characters>1450</Characters>
  <Lines>377</Lines>
  <Paragraphs>157</Paragraphs>
  <CharactersWithSpaces>1695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China</dc:creator>
  <cp:lastModifiedBy>dsjk</cp:lastModifiedBy>
  <cp:revision>20</cp:revision>
  <dcterms:created xsi:type="dcterms:W3CDTF">2020-01-06T10:32:00Z</dcterms:created>
  <dcterms:modified xsi:type="dcterms:W3CDTF">2022-03-19T04:11:43Z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2052-11.8.2.8506</vt:lpwstr>
  </property>
</Properties>
</file>